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33" w:type="dxa"/>
        <w:tblInd w:w="14" w:type="dxa"/>
        <w:tblCellMar>
          <w:left w:w="0" w:type="dxa"/>
          <w:right w:w="0" w:type="dxa"/>
        </w:tblCellMar>
        <w:tblLook w:val="01E0"/>
      </w:tblPr>
      <w:tblGrid>
        <w:gridCol w:w="553"/>
        <w:gridCol w:w="6649"/>
        <w:gridCol w:w="553"/>
        <w:gridCol w:w="5825"/>
        <w:gridCol w:w="553"/>
      </w:tblGrid>
      <w:tr w:rsidR="00D80A98">
        <w:trPr>
          <w:gridBefore w:val="1"/>
          <w:wBefore w:w="553" w:type="dxa"/>
          <w:trHeight w:val="709"/>
        </w:trPr>
        <w:tc>
          <w:tcPr>
            <w:tcW w:w="7202" w:type="dxa"/>
            <w:gridSpan w:val="2"/>
          </w:tcPr>
          <w:p w:rsidR="00D80A98" w:rsidRDefault="002408E5">
            <w:pPr>
              <w:spacing w:after="0" w:line="240" w:lineRule="auto"/>
              <w:jc w:val="center"/>
              <w:rPr>
                <w:rFonts w:ascii="Times New Roman" w:hAnsi="Times New Roman"/>
                <w:sz w:val="26"/>
                <w:szCs w:val="28"/>
              </w:rPr>
            </w:pPr>
            <w:r>
              <w:rPr>
                <w:rFonts w:ascii="Times New Roman" w:hAnsi="Times New Roman"/>
                <w:sz w:val="26"/>
                <w:szCs w:val="28"/>
              </w:rPr>
              <w:t>UBND TỈNH QUẢNG TRỊ</w:t>
            </w:r>
          </w:p>
          <w:p w:rsidR="00D80A98" w:rsidRDefault="005D5139">
            <w:pPr>
              <w:spacing w:after="0" w:line="240" w:lineRule="auto"/>
              <w:jc w:val="center"/>
              <w:rPr>
                <w:rFonts w:ascii="Times New Roman" w:hAnsi="Times New Roman"/>
                <w:b/>
                <w:sz w:val="26"/>
                <w:szCs w:val="28"/>
              </w:rPr>
            </w:pPr>
            <w:r w:rsidRPr="005D5139">
              <w:rPr>
                <w:rFonts w:ascii="Times New Roman" w:hAnsi="Times New Roman"/>
                <w:b/>
                <w:noProof/>
                <w:sz w:val="26"/>
                <w:szCs w:val="28"/>
                <w:lang w:val="en-SG" w:eastAsia="en-SG"/>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145.2pt;margin-top:16.3pt;width:73.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t8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"/>
              </w:pict>
            </w:r>
            <w:r w:rsidR="002408E5">
              <w:rPr>
                <w:rFonts w:ascii="Times New Roman" w:hAnsi="Times New Roman"/>
                <w:b/>
                <w:sz w:val="26"/>
                <w:szCs w:val="28"/>
              </w:rPr>
              <w:t>SỞ NÔNG NGHIỆP VÀ MÔI TRƯỜNG</w:t>
            </w:r>
          </w:p>
        </w:tc>
        <w:tc>
          <w:tcPr>
            <w:tcW w:w="6378" w:type="dxa"/>
            <w:gridSpan w:val="2"/>
          </w:tcPr>
          <w:p w:rsidR="00D80A98" w:rsidRDefault="002408E5">
            <w:pPr>
              <w:spacing w:after="0" w:line="240" w:lineRule="auto"/>
              <w:jc w:val="center"/>
              <w:rPr>
                <w:rFonts w:ascii="Times New Roman" w:hAnsi="Times New Roman"/>
                <w:b/>
                <w:sz w:val="26"/>
                <w:szCs w:val="28"/>
              </w:rPr>
            </w:pPr>
            <w:r>
              <w:rPr>
                <w:rFonts w:ascii="Times New Roman" w:hAnsi="Times New Roman"/>
                <w:b/>
                <w:sz w:val="26"/>
                <w:szCs w:val="28"/>
              </w:rPr>
              <w:t>CỘNG HOÀ XÃ HỘI CHỦ NGHĨA VIỆT NAM</w:t>
            </w:r>
          </w:p>
          <w:p w:rsidR="00D80A98" w:rsidRDefault="005D5139">
            <w:pPr>
              <w:spacing w:after="0" w:line="240" w:lineRule="auto"/>
              <w:jc w:val="center"/>
              <w:rPr>
                <w:rFonts w:ascii="Times New Roman" w:hAnsi="Times New Roman"/>
                <w:b/>
                <w:sz w:val="26"/>
                <w:szCs w:val="28"/>
              </w:rPr>
            </w:pPr>
            <w:r w:rsidRPr="005D5139">
              <w:rPr>
                <w:rFonts w:ascii="Times New Roman" w:hAnsi="Times New Roman"/>
                <w:b/>
                <w:noProof/>
                <w:sz w:val="26"/>
                <w:szCs w:val="28"/>
                <w:lang w:val="en-SG" w:eastAsia="en-SG"/>
              </w:rPr>
              <w:pict>
                <v:shape id="Straight Arrow Connector 4" o:spid="_x0000_s1027" type="#_x0000_t32" style="position:absolute;left:0;text-align:left;margin-left:81.7pt;margin-top:17.45pt;width:154.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FV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l0nE5w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"/>
              </w:pict>
            </w:r>
            <w:r w:rsidR="002408E5">
              <w:rPr>
                <w:rFonts w:ascii="Times New Roman" w:hAnsi="Times New Roman"/>
                <w:b/>
                <w:sz w:val="26"/>
                <w:szCs w:val="28"/>
              </w:rPr>
              <w:t>Độc lập - Tự do - Hạnh phúc</w:t>
            </w:r>
          </w:p>
        </w:tc>
      </w:tr>
      <w:tr w:rsidR="00D80A98">
        <w:trPr>
          <w:gridAfter w:val="1"/>
          <w:wAfter w:w="553" w:type="dxa"/>
          <w:trHeight w:val="1281"/>
        </w:trPr>
        <w:tc>
          <w:tcPr>
            <w:tcW w:w="7202" w:type="dxa"/>
            <w:gridSpan w:val="2"/>
          </w:tcPr>
          <w:p w:rsidR="00D80A98" w:rsidRDefault="00D80A98">
            <w:pPr>
              <w:spacing w:after="0" w:line="240" w:lineRule="auto"/>
              <w:jc w:val="center"/>
              <w:rPr>
                <w:rFonts w:ascii="Times New Roman" w:hAnsi="Times New Roman"/>
                <w:b/>
                <w:sz w:val="26"/>
                <w:szCs w:val="28"/>
              </w:rPr>
            </w:pPr>
          </w:p>
        </w:tc>
        <w:tc>
          <w:tcPr>
            <w:tcW w:w="6378" w:type="dxa"/>
            <w:gridSpan w:val="2"/>
          </w:tcPr>
          <w:p w:rsidR="00D80A98" w:rsidRDefault="002408E5">
            <w:pPr>
              <w:spacing w:after="0" w:line="240" w:lineRule="auto"/>
              <w:jc w:val="center"/>
              <w:rPr>
                <w:rFonts w:ascii="Times New Roman" w:hAnsi="Times New Roman"/>
                <w:i/>
                <w:sz w:val="26"/>
                <w:szCs w:val="28"/>
              </w:rPr>
            </w:pPr>
            <w:r>
              <w:rPr>
                <w:rFonts w:ascii="Times New Roman" w:hAnsi="Times New Roman"/>
                <w:i/>
                <w:sz w:val="26"/>
                <w:szCs w:val="28"/>
              </w:rPr>
              <w:t xml:space="preserve">       Quảng Trị, ngày         tháng     năm 2026</w:t>
            </w:r>
          </w:p>
        </w:tc>
      </w:tr>
    </w:tbl>
    <w:p w:rsidR="00D80A98" w:rsidRDefault="002408E5">
      <w:pPr>
        <w:shd w:val="clear" w:color="auto" w:fill="FFFFFF"/>
        <w:spacing w:after="0" w:line="234" w:lineRule="atLeast"/>
        <w:jc w:val="center"/>
        <w:rPr>
          <w:rFonts w:ascii="Times New Roman" w:hAnsi="Times New Roman"/>
          <w:b/>
          <w:bCs/>
          <w:iCs/>
          <w:color w:val="000000" w:themeColor="text1"/>
          <w:sz w:val="28"/>
          <w:szCs w:val="28"/>
        </w:rPr>
      </w:pPr>
      <w:r>
        <w:rPr>
          <w:rFonts w:ascii="Times New Roman" w:hAnsi="Times New Roman"/>
          <w:b/>
          <w:sz w:val="28"/>
          <w:szCs w:val="28"/>
        </w:rPr>
        <w:t xml:space="preserve">BẢN SO SÁNH, THUYẾT MINH DỰ THẢO NGHỊ QUYẾT </w:t>
      </w:r>
      <w:r>
        <w:rPr>
          <w:rFonts w:ascii="Times New Roman" w:eastAsia="Times New Roman" w:hAnsi="Times New Roman"/>
          <w:b/>
          <w:color w:val="000000"/>
          <w:sz w:val="28"/>
          <w:szCs w:val="28"/>
          <w:lang w:eastAsia="en-SG"/>
        </w:rPr>
        <w:t>QUY ĐỊNH CHÍNH SÁCH HỖ TRỢ T</w:t>
      </w:r>
      <w:r>
        <w:rPr>
          <w:rFonts w:ascii="Times New Roman" w:hAnsi="Times New Roman"/>
          <w:b/>
          <w:bCs/>
          <w:iCs/>
          <w:color w:val="000000" w:themeColor="text1"/>
          <w:sz w:val="28"/>
          <w:szCs w:val="28"/>
        </w:rPr>
        <w:t xml:space="preserve">ÍCH TỤ, TẬP TRUNG ĐẤT NÔNG NGHIỆP GẮN VỚI ĐẨY MẠNH CƠ GIỚI HOÁ, HIỆN ĐẠI HOÁ SẢN XUẤT; PHÁT TRIỂN VÙNG NGUYÊN LIỆU NÔNG NGHIỆP, THUỶ SẢN BỀN VỮNG ĐẾN NĂM 2030, </w:t>
      </w:r>
    </w:p>
    <w:p w:rsidR="00D80A98" w:rsidRDefault="00AE2EF5">
      <w:pPr>
        <w:shd w:val="clear" w:color="auto" w:fill="FFFFFF"/>
        <w:spacing w:after="0" w:line="234" w:lineRule="atLeast"/>
        <w:jc w:val="center"/>
        <w:rPr>
          <w:rFonts w:ascii="Times New Roman" w:hAnsi="Times New Roman"/>
          <w:b/>
          <w:sz w:val="28"/>
          <w:szCs w:val="28"/>
        </w:rPr>
      </w:pPr>
      <w:r w:rsidRPr="00AA3071">
        <w:rPr>
          <w:rFonts w:ascii="Times New Roman" w:hAnsi="Times New Roman"/>
          <w:b/>
          <w:bCs/>
          <w:iCs/>
          <w:color w:val="000000" w:themeColor="text1"/>
          <w:sz w:val="28"/>
          <w:szCs w:val="28"/>
        </w:rPr>
        <w:t>ĐỊNH HƯỚNG</w:t>
      </w:r>
      <w:r w:rsidR="002408E5">
        <w:rPr>
          <w:rFonts w:ascii="Times New Roman" w:hAnsi="Times New Roman"/>
          <w:b/>
          <w:bCs/>
          <w:iCs/>
          <w:color w:val="000000" w:themeColor="text1"/>
          <w:sz w:val="28"/>
          <w:szCs w:val="28"/>
        </w:rPr>
        <w:t xml:space="preserve"> ĐẾN NĂM 2035 </w:t>
      </w:r>
      <w:r>
        <w:rPr>
          <w:rFonts w:ascii="Times New Roman" w:hAnsi="Times New Roman"/>
          <w:b/>
          <w:bCs/>
          <w:iCs/>
          <w:color w:val="000000" w:themeColor="text1"/>
          <w:sz w:val="28"/>
          <w:szCs w:val="28"/>
        </w:rPr>
        <w:t xml:space="preserve">VỚI </w:t>
      </w:r>
      <w:r w:rsidR="002408E5">
        <w:rPr>
          <w:rFonts w:ascii="Times New Roman" w:hAnsi="Times New Roman"/>
          <w:b/>
          <w:bCs/>
          <w:iCs/>
          <w:color w:val="000000" w:themeColor="text1"/>
          <w:sz w:val="28"/>
          <w:szCs w:val="28"/>
        </w:rPr>
        <w:t>V</w:t>
      </w:r>
      <w:r w:rsidR="002408E5">
        <w:rPr>
          <w:rFonts w:ascii="Times New Roman" w:hAnsi="Times New Roman"/>
          <w:b/>
          <w:sz w:val="28"/>
          <w:szCs w:val="28"/>
        </w:rPr>
        <w:t>ĂN BẢN QUY PHẠM PHÁP LUẬT HIỆN HÀNH</w:t>
      </w:r>
    </w:p>
    <w:p w:rsidR="00D80A98" w:rsidRDefault="00D80A98">
      <w:pPr>
        <w:spacing w:after="60" w:line="288" w:lineRule="auto"/>
        <w:ind w:firstLine="720"/>
        <w:jc w:val="both"/>
        <w:rPr>
          <w:rFonts w:ascii="Times New Roman" w:hAnsi="Times New Roman"/>
          <w:b/>
          <w:sz w:val="28"/>
          <w:szCs w:val="28"/>
        </w:rPr>
      </w:pPr>
    </w:p>
    <w:tbl>
      <w:tblPr>
        <w:tblW w:w="14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5891"/>
        <w:gridCol w:w="5529"/>
      </w:tblGrid>
      <w:tr w:rsidR="00D80A98">
        <w:trPr>
          <w:tblHeader/>
        </w:trPr>
        <w:tc>
          <w:tcPr>
            <w:tcW w:w="2898" w:type="dxa"/>
            <w:vAlign w:val="center"/>
          </w:tcPr>
          <w:p w:rsidR="00D80A98" w:rsidRDefault="002408E5">
            <w:pPr>
              <w:spacing w:before="120" w:after="0" w:line="240" w:lineRule="auto"/>
              <w:jc w:val="both"/>
              <w:rPr>
                <w:rFonts w:ascii="Times New Roman" w:hAnsi="Times New Roman"/>
                <w:b/>
                <w:sz w:val="26"/>
                <w:szCs w:val="26"/>
              </w:rPr>
            </w:pPr>
            <w:r>
              <w:rPr>
                <w:rFonts w:ascii="Times New Roman" w:hAnsi="Times New Roman"/>
                <w:b/>
                <w:sz w:val="26"/>
                <w:szCs w:val="26"/>
              </w:rPr>
              <w:t xml:space="preserve">QUY PHẠM PHÁP LUẬT HIỆN HÀNH </w:t>
            </w:r>
          </w:p>
        </w:tc>
        <w:tc>
          <w:tcPr>
            <w:tcW w:w="5891" w:type="dxa"/>
            <w:vAlign w:val="center"/>
          </w:tcPr>
          <w:p w:rsidR="00D80A98" w:rsidRDefault="002408E5">
            <w:pPr>
              <w:spacing w:before="120" w:after="0" w:line="240" w:lineRule="auto"/>
              <w:jc w:val="center"/>
              <w:rPr>
                <w:rFonts w:ascii="Times New Roman" w:hAnsi="Times New Roman"/>
                <w:b/>
                <w:sz w:val="26"/>
                <w:szCs w:val="26"/>
              </w:rPr>
            </w:pPr>
            <w:r>
              <w:rPr>
                <w:rFonts w:ascii="Times New Roman" w:hAnsi="Times New Roman"/>
                <w:b/>
                <w:sz w:val="26"/>
                <w:szCs w:val="26"/>
              </w:rPr>
              <w:t>DỰ THẢO VĂN BẢN</w:t>
            </w:r>
          </w:p>
        </w:tc>
        <w:tc>
          <w:tcPr>
            <w:tcW w:w="5529" w:type="dxa"/>
            <w:vAlign w:val="center"/>
          </w:tcPr>
          <w:p w:rsidR="00D80A98" w:rsidRDefault="002408E5">
            <w:pPr>
              <w:spacing w:before="120" w:after="0" w:line="240" w:lineRule="auto"/>
              <w:ind w:firstLine="459"/>
              <w:jc w:val="center"/>
              <w:rPr>
                <w:rFonts w:ascii="Times New Roman" w:hAnsi="Times New Roman"/>
                <w:b/>
                <w:sz w:val="26"/>
                <w:szCs w:val="26"/>
              </w:rPr>
            </w:pPr>
            <w:r>
              <w:rPr>
                <w:rFonts w:ascii="Times New Roman" w:hAnsi="Times New Roman"/>
                <w:b/>
                <w:sz w:val="26"/>
                <w:szCs w:val="26"/>
              </w:rPr>
              <w:t>THUYẾT MINH</w:t>
            </w:r>
          </w:p>
        </w:tc>
      </w:tr>
      <w:tr w:rsidR="00D80A98">
        <w:tc>
          <w:tcPr>
            <w:tcW w:w="2898" w:type="dxa"/>
            <w:vAlign w:val="center"/>
          </w:tcPr>
          <w:p w:rsidR="00D80A98" w:rsidRDefault="00D80A98">
            <w:pPr>
              <w:spacing w:before="120" w:after="0" w:line="240" w:lineRule="auto"/>
              <w:jc w:val="both"/>
              <w:rPr>
                <w:rFonts w:ascii="Times New Roman" w:hAnsi="Times New Roman"/>
                <w:b/>
                <w:sz w:val="26"/>
                <w:szCs w:val="26"/>
              </w:rPr>
            </w:pPr>
          </w:p>
        </w:tc>
        <w:tc>
          <w:tcPr>
            <w:tcW w:w="5891" w:type="dxa"/>
            <w:vAlign w:val="center"/>
          </w:tcPr>
          <w:p w:rsidR="00D80A98" w:rsidRDefault="002408E5">
            <w:pPr>
              <w:spacing w:before="120" w:after="0" w:line="240" w:lineRule="auto"/>
              <w:rPr>
                <w:rFonts w:ascii="Times New Roman" w:hAnsi="Times New Roman"/>
                <w:b/>
                <w:sz w:val="26"/>
                <w:szCs w:val="26"/>
              </w:rPr>
            </w:pPr>
            <w:r>
              <w:rPr>
                <w:rFonts w:ascii="Times New Roman" w:hAnsi="Times New Roman"/>
                <w:b/>
                <w:sz w:val="26"/>
                <w:szCs w:val="26"/>
              </w:rPr>
              <w:t>Quy định trực tiếp</w:t>
            </w:r>
          </w:p>
        </w:tc>
        <w:tc>
          <w:tcPr>
            <w:tcW w:w="5529" w:type="dxa"/>
            <w:vAlign w:val="center"/>
          </w:tcPr>
          <w:p w:rsidR="00D80A98" w:rsidRDefault="00D80A98">
            <w:pPr>
              <w:spacing w:before="120" w:after="0" w:line="240" w:lineRule="auto"/>
              <w:ind w:firstLine="459"/>
              <w:jc w:val="both"/>
              <w:rPr>
                <w:rFonts w:ascii="Times New Roman" w:hAnsi="Times New Roman"/>
                <w:b/>
                <w:sz w:val="26"/>
                <w:szCs w:val="26"/>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Chưa có quy định tổng thể, đồng bộ về tích tụ, tập trung đất và phát triển vùng nguyên liệu</w:t>
            </w:r>
          </w:p>
        </w:tc>
        <w:tc>
          <w:tcPr>
            <w:tcW w:w="5891" w:type="dxa"/>
            <w:vAlign w:val="center"/>
          </w:tcPr>
          <w:p w:rsidR="00D80A98" w:rsidRDefault="002408E5">
            <w:pPr>
              <w:shd w:val="clear" w:color="auto" w:fill="FFFFFF"/>
              <w:spacing w:before="120" w:after="0" w:line="240" w:lineRule="auto"/>
              <w:ind w:firstLine="567"/>
              <w:jc w:val="both"/>
              <w:rPr>
                <w:rFonts w:ascii="Times New Roman" w:eastAsia="Times New Roman" w:hAnsi="Times New Roman"/>
                <w:color w:val="000000"/>
                <w:sz w:val="26"/>
                <w:szCs w:val="26"/>
                <w:lang w:eastAsia="en-SG"/>
              </w:rPr>
            </w:pPr>
            <w:bookmarkStart w:id="0" w:name="dieu_1"/>
            <w:r>
              <w:rPr>
                <w:rFonts w:ascii="Times New Roman" w:eastAsia="Times New Roman" w:hAnsi="Times New Roman"/>
                <w:b/>
                <w:bCs/>
                <w:color w:val="000000"/>
                <w:sz w:val="26"/>
                <w:szCs w:val="26"/>
                <w:lang w:eastAsia="en-SG"/>
              </w:rPr>
              <w:t>Điều 1. </w:t>
            </w:r>
            <w:r>
              <w:rPr>
                <w:rFonts w:ascii="Times New Roman" w:eastAsia="Times New Roman" w:hAnsi="Times New Roman"/>
                <w:color w:val="000000"/>
                <w:sz w:val="26"/>
                <w:szCs w:val="26"/>
                <w:lang w:eastAsia="en-SG"/>
              </w:rPr>
              <w:t>Ban hành kèm theo Nghị quyết này Quy định chính sách hỗ trợ t</w:t>
            </w:r>
            <w:r>
              <w:rPr>
                <w:rFonts w:ascii="Times New Roman" w:hAnsi="Times New Roman"/>
                <w:bCs/>
                <w:iCs/>
                <w:color w:val="000000" w:themeColor="text1"/>
                <w:sz w:val="26"/>
                <w:szCs w:val="26"/>
              </w:rPr>
              <w:t>ích tụ, tập trung đất nông nghiệp gắn với đẩy mạnh cơ giới hoá, hiện đại hoá sản xuất; Phát triển vùng nguyên liệu nông nghiệp, thuỷ sản bền vững đến năm 2030, định hướng đến năm 2035.</w:t>
            </w:r>
            <w:bookmarkEnd w:id="0"/>
          </w:p>
          <w:p w:rsidR="00D80A98" w:rsidRDefault="00D80A98">
            <w:pPr>
              <w:spacing w:before="120" w:after="0" w:line="240" w:lineRule="auto"/>
              <w:rPr>
                <w:rFonts w:ascii="Times New Roman" w:eastAsia="Times New Roman" w:hAnsi="Times New Roman"/>
                <w:kern w:val="0"/>
                <w:sz w:val="26"/>
                <w:szCs w:val="26"/>
                <w:lang w:val="en-SG" w:eastAsia="en-SG"/>
              </w:rPr>
            </w:pPr>
          </w:p>
        </w:tc>
        <w:tc>
          <w:tcPr>
            <w:tcW w:w="5529" w:type="dxa"/>
            <w:vAlign w:val="center"/>
          </w:tcPr>
          <w:p w:rsidR="00D80A98" w:rsidRDefault="002408E5">
            <w:pPr>
              <w:spacing w:before="120" w:after="0" w:line="240" w:lineRule="auto"/>
              <w:ind w:firstLine="459"/>
              <w:jc w:val="both"/>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Hiện chưa có chính sách tổng thể, đồng bộ điều chỉnh các nội dung từ tích tụ đất đai đến phát triển vùng nguyên liệu gắn với cơ giới hóa, chuyển đổi số. Xây dựng Nghị quyết nhằm tạo hành lang pháp lý thống nhất, thúc đẩy sản xuất nông nghiệp hàng hóa quy mô lớn, bền vững. Góp phần nâng cao giá trị gia tăng, thu nhập cho người dân và hiệu quả quản lý nhà nước.</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Quy định chung về tổ chức thực hiện theo Luật Tổ chức chính quyền địa phương</w:t>
            </w:r>
          </w:p>
        </w:tc>
        <w:tc>
          <w:tcPr>
            <w:tcW w:w="5891" w:type="dxa"/>
            <w:vAlign w:val="center"/>
          </w:tcPr>
          <w:p w:rsidR="00D80A98" w:rsidRDefault="002408E5">
            <w:pPr>
              <w:shd w:val="clear" w:color="auto" w:fill="FFFFFF"/>
              <w:spacing w:before="120" w:after="0" w:line="240" w:lineRule="auto"/>
              <w:ind w:firstLine="567"/>
              <w:jc w:val="both"/>
              <w:rPr>
                <w:rFonts w:ascii="Times New Roman" w:eastAsia="Times New Roman" w:hAnsi="Times New Roman"/>
                <w:color w:val="000000"/>
                <w:sz w:val="26"/>
                <w:szCs w:val="26"/>
                <w:lang w:eastAsia="en-SG"/>
              </w:rPr>
            </w:pPr>
            <w:bookmarkStart w:id="1" w:name="dieu_2"/>
            <w:r>
              <w:rPr>
                <w:rFonts w:ascii="Times New Roman" w:eastAsia="Times New Roman" w:hAnsi="Times New Roman"/>
                <w:b/>
                <w:bCs/>
                <w:color w:val="000000"/>
                <w:sz w:val="26"/>
                <w:szCs w:val="26"/>
                <w:lang w:eastAsia="en-SG"/>
              </w:rPr>
              <w:t>Điều 2. </w:t>
            </w:r>
            <w:r>
              <w:rPr>
                <w:rFonts w:ascii="Times New Roman" w:eastAsia="Times New Roman" w:hAnsi="Times New Roman"/>
                <w:color w:val="000000"/>
                <w:sz w:val="26"/>
                <w:szCs w:val="26"/>
                <w:lang w:eastAsia="en-SG"/>
              </w:rPr>
              <w:t xml:space="preserve">Hội đồng nhân dân tỉnh giao Ủy ban nhân dân tỉnh tổ chức triển khai thực hiện Nghị quyết này theo đúng quy định của pháp luật; Giao Thường trực Hội đồng nhân dân tỉnh, các Ban của Hội đồng </w:t>
            </w:r>
            <w:r>
              <w:rPr>
                <w:rFonts w:ascii="Times New Roman" w:eastAsia="Times New Roman" w:hAnsi="Times New Roman"/>
                <w:color w:val="000000"/>
                <w:sz w:val="26"/>
                <w:szCs w:val="26"/>
                <w:lang w:eastAsia="en-SG"/>
              </w:rPr>
              <w:lastRenderedPageBreak/>
              <w:t>nhân dân tỉnh, các Tổ đại biểu và đại biểu Hội đồng nhân dân tỉnh trong phạm vi, nhiệm vụ quyền hạn của mình giám sát việc thực hiện Nghị quyết này.</w:t>
            </w:r>
            <w:bookmarkEnd w:id="1"/>
          </w:p>
          <w:p w:rsidR="00D80A98" w:rsidRDefault="00D80A98">
            <w:pPr>
              <w:shd w:val="clear" w:color="auto" w:fill="FFFFFF"/>
              <w:spacing w:before="120" w:after="0" w:line="240" w:lineRule="auto"/>
              <w:ind w:firstLine="567"/>
              <w:jc w:val="both"/>
              <w:rPr>
                <w:rFonts w:ascii="Times New Roman" w:eastAsia="Times New Roman" w:hAnsi="Times New Roman"/>
                <w:kern w:val="0"/>
                <w:sz w:val="26"/>
                <w:szCs w:val="26"/>
                <w:lang w:val="en-SG" w:eastAsia="en-SG"/>
              </w:rPr>
            </w:pPr>
          </w:p>
        </w:tc>
        <w:tc>
          <w:tcPr>
            <w:tcW w:w="5529" w:type="dxa"/>
            <w:vAlign w:val="center"/>
          </w:tcPr>
          <w:p w:rsidR="00D80A98" w:rsidRDefault="002408E5">
            <w:pPr>
              <w:spacing w:before="120" w:after="0" w:line="240" w:lineRule="auto"/>
              <w:ind w:firstLine="459"/>
              <w:jc w:val="both"/>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Quy định rõ trách nhiệm của UBND tỉnh trong triển khai và HĐND tỉnh trong giám sát nhằm đảm bảo tính khả thi, minh bạch trong tổ chức thực hiện chính sách.</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Chưa quy định</w:t>
            </w:r>
          </w:p>
        </w:tc>
        <w:tc>
          <w:tcPr>
            <w:tcW w:w="5891" w:type="dxa"/>
            <w:vAlign w:val="center"/>
          </w:tcPr>
          <w:p w:rsidR="00D80A98" w:rsidRDefault="002408E5">
            <w:pPr>
              <w:shd w:val="clear" w:color="auto" w:fill="FFFFFF"/>
              <w:spacing w:before="120" w:after="0" w:line="240" w:lineRule="auto"/>
              <w:ind w:firstLine="567"/>
              <w:rPr>
                <w:rFonts w:ascii="Times New Roman" w:eastAsia="Times New Roman" w:hAnsi="Times New Roman"/>
                <w:color w:val="000000"/>
                <w:sz w:val="26"/>
                <w:szCs w:val="26"/>
                <w:lang w:eastAsia="en-SG"/>
              </w:rPr>
            </w:pPr>
            <w:bookmarkStart w:id="2" w:name="dieu_3"/>
            <w:r>
              <w:rPr>
                <w:rFonts w:ascii="Times New Roman" w:eastAsia="Times New Roman" w:hAnsi="Times New Roman"/>
                <w:b/>
                <w:bCs/>
                <w:color w:val="000000"/>
                <w:sz w:val="26"/>
                <w:szCs w:val="26"/>
                <w:lang w:eastAsia="en-SG"/>
              </w:rPr>
              <w:t>Điều 3. </w:t>
            </w:r>
            <w:r>
              <w:rPr>
                <w:rFonts w:ascii="Times New Roman" w:eastAsia="Times New Roman" w:hAnsi="Times New Roman"/>
                <w:color w:val="000000"/>
                <w:sz w:val="26"/>
                <w:szCs w:val="26"/>
                <w:lang w:eastAsia="en-SG"/>
              </w:rPr>
              <w:t xml:space="preserve">Nghị quyết này đã được Hội đồng nhân dân tỉnh Quảng Trị Khóa IX kỳ họp thứ … thông qua ngày … tháng …năm 2026 và có hiệu lực từ ngày …. tháng …. năm 2026. </w:t>
            </w:r>
            <w:bookmarkEnd w:id="2"/>
          </w:p>
          <w:p w:rsidR="00D80A98" w:rsidRDefault="00D80A98">
            <w:pPr>
              <w:spacing w:before="120" w:after="0" w:line="240" w:lineRule="auto"/>
              <w:rPr>
                <w:rFonts w:ascii="Times New Roman" w:eastAsia="Times New Roman" w:hAnsi="Times New Roman"/>
                <w:kern w:val="0"/>
                <w:sz w:val="26"/>
                <w:szCs w:val="26"/>
                <w:lang w:val="en-SG" w:eastAsia="en-SG"/>
              </w:rPr>
            </w:pP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t>Quy định về hiệu lực thi hành của Nghị quyết nhằm xác định rõ thời điểm áp dụng chính sách, tạo cơ sở pháp lý cho các cơ quan, tổ chức, cá nhân triển khai thực hiện. Đồng thời, việc quy định thay thế các nghị quyết trước đây giúp đảm bảo tính thống nhất, đồng bộ của hệ thống chính sách, tránh chồng chéo, trùng lặp trong quá trình thực hiện.</w:t>
            </w:r>
          </w:p>
        </w:tc>
      </w:tr>
      <w:tr w:rsidR="00D80A98">
        <w:tc>
          <w:tcPr>
            <w:tcW w:w="2898" w:type="dxa"/>
            <w:vAlign w:val="center"/>
          </w:tcPr>
          <w:p w:rsidR="00D80A98" w:rsidRDefault="00D80A98">
            <w:pPr>
              <w:spacing w:before="120" w:after="0" w:line="240" w:lineRule="auto"/>
              <w:rPr>
                <w:rFonts w:ascii="Times New Roman" w:eastAsia="Times New Roman" w:hAnsi="Times New Roman"/>
                <w:kern w:val="0"/>
                <w:sz w:val="26"/>
                <w:szCs w:val="26"/>
                <w:lang w:val="en-SG" w:eastAsia="en-SG"/>
              </w:rPr>
            </w:pPr>
          </w:p>
        </w:tc>
        <w:tc>
          <w:tcPr>
            <w:tcW w:w="5891" w:type="dxa"/>
            <w:vAlign w:val="center"/>
          </w:tcPr>
          <w:p w:rsidR="00D80A98" w:rsidRDefault="002408E5">
            <w:pPr>
              <w:shd w:val="clear" w:color="auto" w:fill="FFFFFF"/>
              <w:spacing w:before="120" w:after="0" w:line="240" w:lineRule="auto"/>
              <w:ind w:firstLine="567"/>
              <w:jc w:val="both"/>
              <w:rPr>
                <w:rFonts w:ascii="Times New Roman" w:eastAsia="Times New Roman" w:hAnsi="Times New Roman"/>
                <w:b/>
                <w:bCs/>
                <w:color w:val="000000"/>
                <w:sz w:val="26"/>
                <w:szCs w:val="26"/>
                <w:lang w:eastAsia="en-SG"/>
              </w:rPr>
            </w:pPr>
            <w:r>
              <w:rPr>
                <w:rFonts w:ascii="Times New Roman" w:eastAsia="Times New Roman" w:hAnsi="Times New Roman"/>
                <w:b/>
                <w:bCs/>
                <w:color w:val="000000"/>
                <w:sz w:val="26"/>
                <w:szCs w:val="26"/>
                <w:lang w:eastAsia="en-SG"/>
              </w:rPr>
              <w:t>Quy định kèm theo Nghị quyết</w:t>
            </w:r>
          </w:p>
        </w:tc>
        <w:tc>
          <w:tcPr>
            <w:tcW w:w="5529" w:type="dxa"/>
            <w:vAlign w:val="center"/>
          </w:tcPr>
          <w:p w:rsidR="00D80A98" w:rsidRDefault="00D80A98">
            <w:pPr>
              <w:pStyle w:val="NormalWeb"/>
              <w:spacing w:before="120" w:beforeAutospacing="0" w:after="0" w:afterAutospacing="0"/>
              <w:ind w:firstLine="459"/>
              <w:rPr>
                <w:sz w:val="26"/>
                <w:szCs w:val="26"/>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Chưa quy định cụ thể</w:t>
            </w:r>
          </w:p>
        </w:tc>
        <w:tc>
          <w:tcPr>
            <w:tcW w:w="5891" w:type="dxa"/>
            <w:vAlign w:val="center"/>
          </w:tcPr>
          <w:p w:rsidR="00D80A98" w:rsidRDefault="002408E5">
            <w:pPr>
              <w:spacing w:before="120" w:after="0" w:line="240" w:lineRule="auto"/>
              <w:ind w:firstLine="567"/>
              <w:jc w:val="both"/>
              <w:rPr>
                <w:rFonts w:ascii="Times New Roman" w:eastAsia="Times New Roman" w:hAnsi="Times New Roman"/>
                <w:b/>
                <w:bCs/>
                <w:sz w:val="26"/>
                <w:szCs w:val="26"/>
                <w:lang w:val="vi-VN"/>
              </w:rPr>
            </w:pPr>
            <w:r>
              <w:rPr>
                <w:rFonts w:ascii="Times New Roman" w:eastAsia="Times New Roman" w:hAnsi="Times New Roman"/>
                <w:b/>
                <w:bCs/>
                <w:sz w:val="26"/>
                <w:szCs w:val="26"/>
              </w:rPr>
              <w:t xml:space="preserve">Điều </w:t>
            </w:r>
            <w:r>
              <w:rPr>
                <w:rFonts w:ascii="Times New Roman" w:eastAsia="Times New Roman" w:hAnsi="Times New Roman"/>
                <w:b/>
                <w:bCs/>
                <w:sz w:val="26"/>
                <w:szCs w:val="26"/>
                <w:lang w:val="vi-VN"/>
              </w:rPr>
              <w:t>1. Phạm vi điều chỉnh</w:t>
            </w:r>
          </w:p>
          <w:p w:rsidR="00D80A98" w:rsidRDefault="002408E5">
            <w:pPr>
              <w:shd w:val="clear" w:color="auto" w:fill="FFFFFF"/>
              <w:spacing w:before="120" w:after="0" w:line="240" w:lineRule="auto"/>
              <w:ind w:firstLine="567"/>
              <w:jc w:val="both"/>
              <w:rPr>
                <w:rFonts w:ascii="Times New Roman" w:hAnsi="Times New Roman"/>
                <w:bCs/>
                <w:iCs/>
                <w:color w:val="000000" w:themeColor="text1"/>
                <w:sz w:val="26"/>
                <w:szCs w:val="26"/>
                <w:lang w:val="vi-VN"/>
              </w:rPr>
            </w:pPr>
            <w:r>
              <w:rPr>
                <w:rFonts w:ascii="Times New Roman" w:eastAsia="Times New Roman" w:hAnsi="Times New Roman"/>
                <w:sz w:val="26"/>
                <w:szCs w:val="26"/>
                <w:lang w:val="vi-VN"/>
              </w:rPr>
              <w:t xml:space="preserve">Nghị quyết này quy định về đối tượng, </w:t>
            </w:r>
            <w:r>
              <w:rPr>
                <w:rFonts w:ascii="Times New Roman" w:eastAsia="Times New Roman" w:hAnsi="Times New Roman"/>
                <w:sz w:val="26"/>
                <w:szCs w:val="26"/>
                <w:highlight w:val="yellow"/>
                <w:lang w:val="vi-VN"/>
              </w:rPr>
              <w:t>nguyên tắc, tiêu chí</w:t>
            </w:r>
            <w:r>
              <w:rPr>
                <w:rFonts w:ascii="Times New Roman" w:eastAsia="Times New Roman" w:hAnsi="Times New Roman"/>
                <w:sz w:val="26"/>
                <w:szCs w:val="26"/>
                <w:lang w:val="vi-VN"/>
              </w:rPr>
              <w:t xml:space="preserve">, điều kiện, nội dung, mức hỗ trợ và cơ chế </w:t>
            </w:r>
            <w:r>
              <w:rPr>
                <w:rFonts w:ascii="Times New Roman" w:eastAsia="Times New Roman" w:hAnsi="Times New Roman"/>
                <w:color w:val="000000"/>
                <w:sz w:val="26"/>
                <w:szCs w:val="26"/>
                <w:lang w:val="vi-VN" w:eastAsia="en-SG"/>
              </w:rPr>
              <w:t>thực hiện t</w:t>
            </w:r>
            <w:r>
              <w:rPr>
                <w:rFonts w:ascii="Times New Roman" w:hAnsi="Times New Roman"/>
                <w:bCs/>
                <w:iCs/>
                <w:color w:val="000000" w:themeColor="text1"/>
                <w:sz w:val="26"/>
                <w:szCs w:val="26"/>
                <w:lang w:val="vi-VN"/>
              </w:rPr>
              <w:t xml:space="preserve">ích tụ, tập trung đất nông nghiệp gắn với đẩy mạnh cơ giới hoá, hiện đại hoá sản xuất; Phát triển vùng nguyên liệu nông nghiệp, thuỷ sản bền vững đến năm 2030, </w:t>
            </w:r>
            <w:r>
              <w:rPr>
                <w:rFonts w:ascii="Times New Roman" w:hAnsi="Times New Roman"/>
                <w:bCs/>
                <w:iCs/>
                <w:color w:val="FF0000"/>
                <w:sz w:val="26"/>
                <w:szCs w:val="26"/>
                <w:lang w:val="vi-VN"/>
              </w:rPr>
              <w:t xml:space="preserve">định hướng </w:t>
            </w:r>
            <w:r>
              <w:rPr>
                <w:rFonts w:ascii="Times New Roman" w:hAnsi="Times New Roman"/>
                <w:bCs/>
                <w:iCs/>
                <w:color w:val="000000" w:themeColor="text1"/>
                <w:sz w:val="26"/>
                <w:szCs w:val="26"/>
                <w:lang w:val="vi-VN"/>
              </w:rPr>
              <w:t>đến năm 2035.</w:t>
            </w:r>
          </w:p>
          <w:p w:rsidR="00D80A98" w:rsidRDefault="00D80A98">
            <w:pPr>
              <w:spacing w:before="120" w:after="0" w:line="240" w:lineRule="auto"/>
              <w:rPr>
                <w:rFonts w:ascii="Times New Roman" w:eastAsia="Times New Roman" w:hAnsi="Times New Roman"/>
                <w:kern w:val="0"/>
                <w:sz w:val="26"/>
                <w:szCs w:val="26"/>
                <w:lang w:val="vi-VN" w:eastAsia="en-SG"/>
              </w:rPr>
            </w:pPr>
          </w:p>
        </w:tc>
        <w:tc>
          <w:tcPr>
            <w:tcW w:w="5529" w:type="dxa"/>
            <w:vAlign w:val="center"/>
          </w:tcPr>
          <w:p w:rsidR="00D80A98" w:rsidRDefault="002408E5">
            <w:pPr>
              <w:spacing w:before="120" w:after="0" w:line="240" w:lineRule="auto"/>
              <w:ind w:firstLine="459"/>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Làm rõ phạm vi điều chỉnh toàn diện từ đối tượng, nguyên tắc đến nội dung và mức hỗ trợ → đảm bảo tính đầy đủ, tránh chồng chéo chính sách.</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Chưa quy định</w:t>
            </w:r>
          </w:p>
        </w:tc>
        <w:tc>
          <w:tcPr>
            <w:tcW w:w="5891" w:type="dxa"/>
            <w:vAlign w:val="center"/>
          </w:tcPr>
          <w:p w:rsidR="00597A3E" w:rsidRPr="00597A3E" w:rsidRDefault="00597A3E" w:rsidP="00597A3E">
            <w:pPr>
              <w:shd w:val="clear" w:color="auto" w:fill="FFFFFF"/>
              <w:spacing w:before="120" w:after="0" w:line="240" w:lineRule="auto"/>
              <w:ind w:firstLine="567"/>
              <w:rPr>
                <w:rFonts w:ascii="Times New Roman" w:eastAsia="Times New Roman" w:hAnsi="Times New Roman"/>
                <w:b/>
                <w:bCs/>
                <w:sz w:val="26"/>
                <w:szCs w:val="26"/>
                <w:lang w:val="vi-VN"/>
              </w:rPr>
            </w:pPr>
            <w:r w:rsidRPr="00597A3E">
              <w:rPr>
                <w:rFonts w:ascii="Times New Roman" w:eastAsia="Times New Roman" w:hAnsi="Times New Roman"/>
                <w:b/>
                <w:bCs/>
                <w:sz w:val="26"/>
                <w:szCs w:val="26"/>
              </w:rPr>
              <w:t xml:space="preserve">Điều </w:t>
            </w:r>
            <w:r w:rsidRPr="00597A3E">
              <w:rPr>
                <w:rFonts w:ascii="Times New Roman" w:eastAsia="Times New Roman" w:hAnsi="Times New Roman"/>
                <w:b/>
                <w:bCs/>
                <w:sz w:val="26"/>
                <w:szCs w:val="26"/>
                <w:lang w:val="vi-VN"/>
              </w:rPr>
              <w:t>2. Đối tượng áp dụng</w:t>
            </w:r>
          </w:p>
          <w:p w:rsidR="00597A3E" w:rsidRPr="00597A3E" w:rsidRDefault="00597A3E" w:rsidP="00597A3E">
            <w:pPr>
              <w:spacing w:before="120" w:after="0" w:line="240" w:lineRule="auto"/>
              <w:ind w:firstLine="567"/>
              <w:jc w:val="both"/>
              <w:rPr>
                <w:rFonts w:ascii="Times New Roman" w:eastAsia="Times New Roman" w:hAnsi="Times New Roman"/>
                <w:sz w:val="26"/>
                <w:szCs w:val="26"/>
                <w:lang w:val="vi-VN"/>
              </w:rPr>
            </w:pPr>
            <w:r w:rsidRPr="00597A3E">
              <w:rPr>
                <w:rFonts w:ascii="Times New Roman" w:eastAsia="Times New Roman" w:hAnsi="Times New Roman"/>
                <w:sz w:val="26"/>
                <w:szCs w:val="26"/>
                <w:lang w:val="vi-VN"/>
              </w:rPr>
              <w:t xml:space="preserve">1. Hợp tác xã, liên hiệp hợp tác xã hoạt động trong lĩnh vực nông nghiệp;  Doanh nghiệp tham gia </w:t>
            </w:r>
            <w:r w:rsidRPr="00597A3E">
              <w:rPr>
                <w:rFonts w:ascii="Times New Roman" w:eastAsia="Times New Roman" w:hAnsi="Times New Roman"/>
                <w:sz w:val="26"/>
                <w:szCs w:val="26"/>
                <w:lang w:val="vi-VN"/>
              </w:rPr>
              <w:lastRenderedPageBreak/>
              <w:t>sản xuất, chế biến, tiêu thụ sản phẩm nông nghiệp; Hộ nông dân, trang trại, tổ hợp tác; Tổ chức, cá nhân cung cấp dịch vụ đầu vào, logistics, tài chính, khoa học công nghệ và tín dụng, các dịch vụ khác trong chuỗi giá trị nông nghiệp. (Sau đây gọi chung là Tổ chức, cá nhân).</w:t>
            </w:r>
          </w:p>
          <w:p w:rsidR="00597A3E" w:rsidRPr="0054151B" w:rsidRDefault="00597A3E" w:rsidP="00597A3E">
            <w:pPr>
              <w:spacing w:before="120" w:after="0" w:line="240" w:lineRule="auto"/>
              <w:ind w:firstLine="567"/>
              <w:jc w:val="both"/>
              <w:rPr>
                <w:rFonts w:eastAsia="Times New Roman"/>
                <w:sz w:val="28"/>
                <w:szCs w:val="28"/>
                <w:lang w:val="vi-VN"/>
              </w:rPr>
            </w:pPr>
            <w:r w:rsidRPr="00597A3E">
              <w:rPr>
                <w:rFonts w:ascii="Times New Roman" w:eastAsia="Times New Roman" w:hAnsi="Times New Roman"/>
                <w:sz w:val="26"/>
                <w:szCs w:val="26"/>
              </w:rPr>
              <w:t>2</w:t>
            </w:r>
            <w:r w:rsidRPr="00597A3E">
              <w:rPr>
                <w:rFonts w:ascii="Times New Roman" w:eastAsia="Times New Roman" w:hAnsi="Times New Roman"/>
                <w:sz w:val="26"/>
                <w:szCs w:val="26"/>
                <w:lang w:val="vi-VN"/>
              </w:rPr>
              <w:t>. Cơ quan quản lý nhà nước và các tổ chức, cá nhân có liên quan trong việc thực hiện Nghị quyết này.</w:t>
            </w:r>
          </w:p>
          <w:p w:rsidR="00D80A98" w:rsidRDefault="00D80A98">
            <w:pPr>
              <w:spacing w:before="120" w:after="0" w:line="240" w:lineRule="auto"/>
              <w:rPr>
                <w:rFonts w:ascii="Times New Roman" w:eastAsia="Times New Roman" w:hAnsi="Times New Roman"/>
                <w:kern w:val="0"/>
                <w:sz w:val="26"/>
                <w:szCs w:val="26"/>
                <w:lang w:val="vi-VN" w:eastAsia="en-SG"/>
              </w:rPr>
            </w:pPr>
          </w:p>
        </w:tc>
        <w:tc>
          <w:tcPr>
            <w:tcW w:w="5529" w:type="dxa"/>
            <w:vAlign w:val="center"/>
          </w:tcPr>
          <w:p w:rsidR="00D80A98" w:rsidRDefault="002408E5">
            <w:pPr>
              <w:pStyle w:val="NormalWeb"/>
              <w:spacing w:before="120" w:beforeAutospacing="0" w:after="0" w:afterAutospacing="0"/>
              <w:ind w:firstLine="459"/>
              <w:jc w:val="both"/>
              <w:rPr>
                <w:sz w:val="26"/>
                <w:szCs w:val="26"/>
                <w:lang w:val="vi-VN"/>
              </w:rPr>
            </w:pPr>
            <w:r>
              <w:rPr>
                <w:sz w:val="26"/>
                <w:szCs w:val="26"/>
                <w:lang w:val="vi-VN"/>
              </w:rPr>
              <w:lastRenderedPageBreak/>
              <w:t xml:space="preserve">Quy định cụ thể, đầy đủ các đối tượng áp dụng chính sách, bao gồm hợp tác xã, doanh nghiệp, hộ nông dân và các tổ chức, cá nhân tham </w:t>
            </w:r>
            <w:r>
              <w:rPr>
                <w:sz w:val="26"/>
                <w:szCs w:val="26"/>
                <w:lang w:val="vi-VN"/>
              </w:rPr>
              <w:lastRenderedPageBreak/>
              <w:t>gia trong toàn bộ chuỗi giá trị nông nghiệp từ sản xuất đến tiêu thụ. Đồng thời, bổ sung các chủ thể cung cấp dịch vụ hỗ trợ (logistics, tài chính, khoa học công nghệ…) nhằm đảm bảo tính bao trùm, đồng bộ trong tổ chức thực hiện chính sách.</w:t>
            </w:r>
          </w:p>
          <w:p w:rsidR="00D80A98" w:rsidRDefault="002408E5">
            <w:pPr>
              <w:pStyle w:val="NormalWeb"/>
              <w:spacing w:before="120" w:beforeAutospacing="0" w:after="0" w:afterAutospacing="0"/>
              <w:ind w:firstLine="459"/>
              <w:jc w:val="both"/>
              <w:rPr>
                <w:sz w:val="26"/>
                <w:szCs w:val="26"/>
                <w:lang w:val="vi-VN"/>
              </w:rPr>
            </w:pPr>
            <w:r>
              <w:rPr>
                <w:sz w:val="26"/>
                <w:szCs w:val="26"/>
                <w:lang w:val="vi-VN"/>
              </w:rPr>
              <w:t xml:space="preserve">Quy định này góp phần tạo điều kiện thu hút các thành phần kinh tế tham gia phát triển vùng nguyên liệu, thúc đẩy liên kết sản xuất theo chuỗi giá trị, nâng cao hiệu quả sản xuất nông nghiệp. </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vi-VN" w:eastAsia="en-SG"/>
              </w:rPr>
            </w:pPr>
            <w:r>
              <w:rPr>
                <w:rFonts w:ascii="Times New Roman" w:eastAsia="Times New Roman" w:hAnsi="Times New Roman"/>
                <w:kern w:val="0"/>
                <w:sz w:val="26"/>
                <w:szCs w:val="26"/>
                <w:lang w:val="vi-VN" w:eastAsia="en-SG"/>
              </w:rPr>
              <w:lastRenderedPageBreak/>
              <w:t>Quy định chung về hỗ trợ ngân sách</w:t>
            </w:r>
          </w:p>
        </w:tc>
        <w:tc>
          <w:tcPr>
            <w:tcW w:w="5891" w:type="dxa"/>
            <w:vAlign w:val="center"/>
          </w:tcPr>
          <w:p w:rsidR="006F7130" w:rsidRPr="006F7130" w:rsidRDefault="006F7130" w:rsidP="006F7130">
            <w:pPr>
              <w:spacing w:before="120" w:after="120" w:line="240" w:lineRule="auto"/>
              <w:ind w:firstLine="567"/>
              <w:jc w:val="both"/>
              <w:rPr>
                <w:rFonts w:ascii="Times New Roman" w:eastAsia="Times New Roman" w:hAnsi="Times New Roman"/>
                <w:sz w:val="26"/>
                <w:szCs w:val="26"/>
                <w:lang w:val="vi-VN"/>
              </w:rPr>
            </w:pPr>
            <w:r w:rsidRPr="006F7130">
              <w:rPr>
                <w:rFonts w:ascii="Times New Roman" w:eastAsia="Times New Roman" w:hAnsi="Times New Roman"/>
                <w:sz w:val="26"/>
                <w:szCs w:val="26"/>
                <w:lang w:val="vi-VN"/>
              </w:rPr>
              <w:t xml:space="preserve">1. Ngân sách nhà nước chỉ hỗ trợ cho các tổ chức, cá nhân đáp ứng đầy đủ điều kiện về sản xuất, kinh doanh theo quy định của pháp luật và các điều kiện được quy định tại Nghị quyết này. </w:t>
            </w:r>
          </w:p>
          <w:p w:rsidR="006F7130" w:rsidRPr="006F7130" w:rsidRDefault="006F7130" w:rsidP="006F7130">
            <w:pPr>
              <w:spacing w:before="120" w:after="120" w:line="240" w:lineRule="auto"/>
              <w:ind w:firstLine="567"/>
              <w:jc w:val="both"/>
              <w:rPr>
                <w:rFonts w:ascii="Times New Roman" w:eastAsia="Times New Roman" w:hAnsi="Times New Roman"/>
                <w:sz w:val="26"/>
                <w:szCs w:val="26"/>
                <w:lang w:val="vi-VN"/>
              </w:rPr>
            </w:pPr>
            <w:r w:rsidRPr="006F7130">
              <w:rPr>
                <w:rFonts w:ascii="Times New Roman" w:eastAsia="Times New Roman" w:hAnsi="Times New Roman"/>
                <w:sz w:val="26"/>
                <w:szCs w:val="26"/>
                <w:lang w:val="vi-VN"/>
              </w:rPr>
              <w:t>2. Trong cùng một thời gian, có nhiều chính sách hoặc có chính sách mới của Nhà nước được ban hành, cùng một nội dung hỗ trợ thì mỗi đối tượng chỉ được lựa chọn một chính sách hỗ trợ. Mỗi đối tượng có thể được hưởng nhiều nội dung hỗ trợ khác nhau để hoàn thiện chuỗi giá trị ngành hàng nhưng mỗi năm chỉ được hỗ trợ tối đa 2 nội dung chính sách trong Nghị quyết.</w:t>
            </w:r>
          </w:p>
          <w:p w:rsidR="006F7130" w:rsidRPr="006F7130" w:rsidRDefault="006F7130" w:rsidP="006F7130">
            <w:pPr>
              <w:spacing w:before="120" w:after="120" w:line="240" w:lineRule="auto"/>
              <w:ind w:firstLine="567"/>
              <w:jc w:val="both"/>
              <w:rPr>
                <w:rFonts w:ascii="Times New Roman" w:eastAsia="Times New Roman" w:hAnsi="Times New Roman"/>
                <w:sz w:val="26"/>
                <w:szCs w:val="26"/>
                <w:lang w:val="vi-VN"/>
              </w:rPr>
            </w:pPr>
            <w:r w:rsidRPr="006F7130">
              <w:rPr>
                <w:rFonts w:ascii="Times New Roman" w:eastAsia="Times New Roman" w:hAnsi="Times New Roman"/>
                <w:sz w:val="26"/>
                <w:szCs w:val="26"/>
                <w:lang w:val="vi-VN"/>
              </w:rPr>
              <w:t xml:space="preserve">3. Các đối tượng được hưởng chính sách hỗ trợ chịu trách nhiệm trước pháp luật về tính chính xác, trung thực trong kê khai các điều kiện để hưởng chính </w:t>
            </w:r>
            <w:r w:rsidRPr="006F7130">
              <w:rPr>
                <w:rFonts w:ascii="Times New Roman" w:eastAsia="Times New Roman" w:hAnsi="Times New Roman"/>
                <w:sz w:val="26"/>
                <w:szCs w:val="26"/>
                <w:lang w:val="vi-VN"/>
              </w:rPr>
              <w:lastRenderedPageBreak/>
              <w:t>sách.</w:t>
            </w:r>
          </w:p>
          <w:p w:rsidR="00D80A98" w:rsidRDefault="006F7130" w:rsidP="006F7130">
            <w:pPr>
              <w:spacing w:before="120" w:after="120" w:line="240" w:lineRule="auto"/>
              <w:ind w:firstLine="567"/>
              <w:jc w:val="both"/>
              <w:rPr>
                <w:rFonts w:ascii="Times New Roman" w:eastAsia="Times New Roman" w:hAnsi="Times New Roman"/>
                <w:kern w:val="0"/>
                <w:sz w:val="26"/>
                <w:szCs w:val="26"/>
                <w:lang w:val="vi-VN" w:eastAsia="en-SG"/>
              </w:rPr>
            </w:pPr>
            <w:r w:rsidRPr="006F7130">
              <w:rPr>
                <w:rFonts w:ascii="Times New Roman" w:eastAsia="Times New Roman" w:hAnsi="Times New Roman"/>
                <w:sz w:val="26"/>
                <w:szCs w:val="26"/>
                <w:lang w:val="vi-VN"/>
              </w:rPr>
              <w:t xml:space="preserve"> 4. Quản lý, sử dụng kinh phí đúng mục đích, đối tượng, đảm bảo</w:t>
            </w:r>
            <w:r w:rsidRPr="006F7130">
              <w:rPr>
                <w:rFonts w:ascii="Times New Roman" w:eastAsia="Times New Roman" w:hAnsi="Times New Roman"/>
                <w:sz w:val="26"/>
                <w:szCs w:val="26"/>
              </w:rPr>
              <w:t xml:space="preserve">, </w:t>
            </w:r>
            <w:r w:rsidRPr="006F7130">
              <w:rPr>
                <w:rFonts w:ascii="Times New Roman" w:eastAsia="Times New Roman" w:hAnsi="Times New Roman"/>
                <w:color w:val="FF0000"/>
                <w:sz w:val="26"/>
                <w:szCs w:val="26"/>
              </w:rPr>
              <w:t>công khai,minh bạch</w:t>
            </w:r>
            <w:r w:rsidRPr="006F7130">
              <w:rPr>
                <w:rFonts w:ascii="Times New Roman" w:eastAsia="Times New Roman" w:hAnsi="Times New Roman"/>
                <w:sz w:val="26"/>
                <w:szCs w:val="26"/>
              </w:rPr>
              <w:t xml:space="preserve">, </w:t>
            </w:r>
            <w:r w:rsidRPr="006F7130">
              <w:rPr>
                <w:rFonts w:ascii="Times New Roman" w:eastAsia="Times New Roman" w:hAnsi="Times New Roman"/>
                <w:sz w:val="26"/>
                <w:szCs w:val="26"/>
                <w:lang w:val="vi-VN"/>
              </w:rPr>
              <w:t>hiệu quả, theo đúng quy định quản lý tài chính hiện hành của Nhà nước.</w:t>
            </w:r>
          </w:p>
        </w:tc>
        <w:tc>
          <w:tcPr>
            <w:tcW w:w="5529" w:type="dxa"/>
            <w:vAlign w:val="center"/>
          </w:tcPr>
          <w:p w:rsidR="00D80A98" w:rsidRDefault="002408E5">
            <w:pPr>
              <w:pStyle w:val="NormalWeb"/>
              <w:spacing w:before="120" w:beforeAutospacing="0" w:after="0" w:afterAutospacing="0"/>
              <w:ind w:firstLine="459"/>
              <w:jc w:val="both"/>
              <w:rPr>
                <w:sz w:val="26"/>
                <w:szCs w:val="26"/>
                <w:lang w:val="vi-VN"/>
              </w:rPr>
            </w:pPr>
            <w:r>
              <w:rPr>
                <w:sz w:val="26"/>
                <w:szCs w:val="26"/>
                <w:lang w:val="vi-VN"/>
              </w:rPr>
              <w:lastRenderedPageBreak/>
              <w:t>Quy định chặt chẽ về nguyên tắc hỗ trợ (tránh trùng lặp, giới hạn số nội dung hỗ trợ, xác định rõ trách nhiệm của đối tượng thụ hưởng) nhằm nâng cao hiệu quả sử dụng ngân sách nhà nước, bảo đảm công khai, minh bạch trong tổ chức thực hiện.</w:t>
            </w:r>
          </w:p>
          <w:p w:rsidR="00D80A98" w:rsidRDefault="002408E5">
            <w:pPr>
              <w:pStyle w:val="NormalWeb"/>
              <w:spacing w:before="120" w:beforeAutospacing="0" w:after="0" w:afterAutospacing="0"/>
              <w:ind w:firstLine="459"/>
              <w:jc w:val="both"/>
              <w:rPr>
                <w:sz w:val="26"/>
                <w:szCs w:val="26"/>
                <w:lang w:val="vi-VN"/>
              </w:rPr>
            </w:pPr>
            <w:r>
              <w:rPr>
                <w:sz w:val="26"/>
                <w:szCs w:val="26"/>
                <w:lang w:val="vi-VN"/>
              </w:rPr>
              <w:t xml:space="preserve">Đồng thời, quy định này góp phần </w:t>
            </w:r>
            <w:r>
              <w:rPr>
                <w:rStyle w:val="Strong"/>
                <w:b w:val="0"/>
                <w:sz w:val="26"/>
                <w:szCs w:val="26"/>
                <w:lang w:val="vi-VN"/>
              </w:rPr>
              <w:t>đơn giản hóa, minh bạch hóa điều kiện hỗ trợ, hạn chế trùng lặp chính sách</w:t>
            </w:r>
            <w:r>
              <w:rPr>
                <w:b/>
                <w:sz w:val="26"/>
                <w:szCs w:val="26"/>
                <w:lang w:val="vi-VN"/>
              </w:rPr>
              <w:t>,</w:t>
            </w:r>
            <w:r>
              <w:rPr>
                <w:sz w:val="26"/>
                <w:szCs w:val="26"/>
                <w:lang w:val="vi-VN"/>
              </w:rPr>
              <w:t xml:space="preserve"> tạo thuận lợi cho các tổ chức, cá nhân trong quá trình tiếp cận chính sách; tăng cường kỷ luật, kỷ cương tài chính và trách nhiệm giải trình của các bên liên quan.</w:t>
            </w:r>
          </w:p>
          <w:p w:rsidR="00D80A98" w:rsidRDefault="00D80A98">
            <w:pPr>
              <w:pStyle w:val="NormalWeb"/>
              <w:spacing w:before="120" w:beforeAutospacing="0" w:after="0" w:afterAutospacing="0"/>
              <w:ind w:firstLine="459"/>
              <w:jc w:val="both"/>
              <w:rPr>
                <w:sz w:val="26"/>
                <w:szCs w:val="26"/>
                <w:lang w:val="vi-VN"/>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vi-VN" w:eastAsia="en-SG"/>
              </w:rPr>
            </w:pPr>
            <w:r>
              <w:rPr>
                <w:rFonts w:ascii="Times New Roman" w:eastAsia="Times New Roman" w:hAnsi="Times New Roman"/>
                <w:kern w:val="0"/>
                <w:sz w:val="26"/>
                <w:szCs w:val="26"/>
                <w:lang w:val="vi-VN" w:eastAsia="en-SG"/>
              </w:rPr>
              <w:lastRenderedPageBreak/>
              <w:t>Chưa có tiêu chí cụ thể</w:t>
            </w:r>
          </w:p>
        </w:tc>
        <w:tc>
          <w:tcPr>
            <w:tcW w:w="5891" w:type="dxa"/>
            <w:vAlign w:val="center"/>
          </w:tcPr>
          <w:p w:rsidR="00ED5BEC" w:rsidRPr="00ED5BEC" w:rsidRDefault="00ED5BEC" w:rsidP="00ED5BEC">
            <w:pPr>
              <w:spacing w:before="120" w:after="0" w:line="240" w:lineRule="auto"/>
              <w:ind w:firstLine="567"/>
              <w:jc w:val="both"/>
              <w:rPr>
                <w:rFonts w:ascii="Times New Roman" w:eastAsia="Times New Roman" w:hAnsi="Times New Roman"/>
                <w:b/>
                <w:sz w:val="26"/>
                <w:szCs w:val="26"/>
                <w:lang w:val="vi-VN"/>
              </w:rPr>
            </w:pPr>
            <w:r w:rsidRPr="00ED5BEC">
              <w:rPr>
                <w:rFonts w:ascii="Times New Roman" w:eastAsia="Times New Roman" w:hAnsi="Times New Roman"/>
                <w:b/>
                <w:sz w:val="26"/>
                <w:szCs w:val="26"/>
                <w:lang w:val="vi-VN"/>
              </w:rPr>
              <w:t>Điều 4. Tiêu chí vùng nguyên liệu</w:t>
            </w:r>
          </w:p>
          <w:p w:rsidR="00ED5BEC" w:rsidRPr="00ED5BEC" w:rsidRDefault="00ED5BEC" w:rsidP="00ED5BEC">
            <w:pPr>
              <w:spacing w:before="120" w:after="120" w:line="240" w:lineRule="auto"/>
              <w:ind w:firstLine="720"/>
              <w:jc w:val="both"/>
              <w:rPr>
                <w:rFonts w:ascii="Times New Roman" w:eastAsia="Times New Roman" w:hAnsi="Times New Roman"/>
                <w:sz w:val="26"/>
                <w:szCs w:val="26"/>
                <w:lang w:val="vi-VN" w:eastAsia="vi-VN"/>
              </w:rPr>
            </w:pPr>
            <w:r w:rsidRPr="00ED5BEC">
              <w:rPr>
                <w:rFonts w:ascii="Times New Roman" w:eastAsia="Times New Roman" w:hAnsi="Times New Roman"/>
                <w:sz w:val="26"/>
                <w:szCs w:val="26"/>
                <w:lang w:val="vi-VN" w:eastAsia="vi-VN"/>
              </w:rPr>
              <w:t>Vùng nguyên liệu nông nghiệp, thuỷ sản được xác định đạt yêu cầu để hưởng các chính sách của Nghị quyết này khi đáp ứng đầy đủ các nhóm tiêu chí cơ bản sau:</w:t>
            </w:r>
          </w:p>
          <w:p w:rsidR="00ED5BEC" w:rsidRPr="00ED5BEC" w:rsidRDefault="00ED5BEC" w:rsidP="00ED5B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ED5BEC">
              <w:rPr>
                <w:rFonts w:ascii="Times New Roman" w:eastAsia="Times New Roman" w:hAnsi="Times New Roman"/>
                <w:sz w:val="26"/>
                <w:szCs w:val="26"/>
                <w:lang w:val="vi-VN" w:eastAsia="vi-VN"/>
              </w:rPr>
              <w:t xml:space="preserve">1. Phù hợp với quy hoạch tỉnh hoặc quy hoạch </w:t>
            </w:r>
            <w:r w:rsidRPr="00ED5BEC">
              <w:rPr>
                <w:rFonts w:ascii="Times New Roman" w:eastAsia="Times New Roman" w:hAnsi="Times New Roman"/>
                <w:sz w:val="26"/>
                <w:szCs w:val="26"/>
                <w:lang w:eastAsia="vi-VN"/>
              </w:rPr>
              <w:t xml:space="preserve">chung </w:t>
            </w:r>
            <w:r w:rsidRPr="00ED5BEC">
              <w:rPr>
                <w:rFonts w:ascii="Times New Roman" w:eastAsia="Times New Roman" w:hAnsi="Times New Roman"/>
                <w:sz w:val="26"/>
                <w:szCs w:val="26"/>
                <w:lang w:val="vi-VN" w:eastAsia="vi-VN"/>
              </w:rPr>
              <w:t>xã, phường, đặc khu và định hướng phát triển ngành hàng; Có quy mô tập trung, đáp ứng yêu cầu sản xuất hàng hóa trong đó phải có diện tích</w:t>
            </w:r>
            <w:r w:rsidRPr="00ED5BEC">
              <w:rPr>
                <w:rFonts w:ascii="Times New Roman" w:hAnsi="Times New Roman"/>
                <w:sz w:val="26"/>
                <w:szCs w:val="26"/>
                <w:lang w:val="vi-VN" w:eastAsia="vi-VN"/>
              </w:rPr>
              <w:t xml:space="preserve"> tối thiểu: Lúa 50 ha (lúa hữu cơ 10 ha); Rau, cây hàng năm, cây dược liệu 05 ha; Cây trồng cạn, cây ăn quả, cây công nghiệp dài ngày, cây thức ăn chăn nuôi: 10 ha;</w:t>
            </w:r>
            <w:r w:rsidRPr="00ED5BEC">
              <w:rPr>
                <w:rFonts w:ascii="Times New Roman" w:hAnsi="Times New Roman"/>
                <w:color w:val="EE0000"/>
                <w:sz w:val="26"/>
                <w:szCs w:val="26"/>
                <w:lang w:eastAsia="vi-VN"/>
              </w:rPr>
              <w:t>Vùng chăn nuôi tập trung: 100 ha</w:t>
            </w:r>
            <w:r w:rsidRPr="00ED5BEC">
              <w:rPr>
                <w:rFonts w:ascii="Times New Roman" w:hAnsi="Times New Roman"/>
                <w:color w:val="000000" w:themeColor="text1"/>
                <w:sz w:val="26"/>
                <w:szCs w:val="26"/>
                <w:lang w:eastAsia="vi-VN"/>
              </w:rPr>
              <w:t xml:space="preserve">; </w:t>
            </w:r>
            <w:r w:rsidRPr="00ED5BEC">
              <w:rPr>
                <w:rFonts w:ascii="Times New Roman" w:hAnsi="Times New Roman"/>
                <w:sz w:val="26"/>
                <w:szCs w:val="26"/>
                <w:lang w:val="vi-VN" w:eastAsia="vi-VN"/>
              </w:rPr>
              <w:t xml:space="preserve"> vùng nuôi trồng thuỷ sản: </w:t>
            </w:r>
            <w:r w:rsidRPr="00ED5BEC">
              <w:rPr>
                <w:rFonts w:ascii="Times New Roman" w:hAnsi="Times New Roman"/>
                <w:sz w:val="26"/>
                <w:szCs w:val="26"/>
                <w:lang w:eastAsia="vi-VN"/>
              </w:rPr>
              <w:t>50</w:t>
            </w:r>
            <w:r w:rsidRPr="00ED5BEC">
              <w:rPr>
                <w:rFonts w:ascii="Times New Roman" w:hAnsi="Times New Roman"/>
                <w:sz w:val="26"/>
                <w:szCs w:val="26"/>
                <w:lang w:val="vi-VN" w:eastAsia="vi-VN"/>
              </w:rPr>
              <w:t>ha.</w:t>
            </w:r>
          </w:p>
          <w:p w:rsidR="00ED5BEC" w:rsidRPr="00ED5BEC" w:rsidRDefault="00ED5BEC" w:rsidP="00ED5B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rPr>
            </w:pPr>
            <w:r w:rsidRPr="00ED5BEC">
              <w:rPr>
                <w:rFonts w:ascii="Times New Roman" w:hAnsi="Times New Roman"/>
                <w:sz w:val="26"/>
                <w:szCs w:val="26"/>
                <w:lang w:val="vi-VN" w:eastAsia="vi-VN"/>
              </w:rPr>
              <w:t>2. Có h</w:t>
            </w:r>
            <w:r w:rsidRPr="00ED5BEC">
              <w:rPr>
                <w:rFonts w:ascii="Times New Roman" w:eastAsia="Times New Roman" w:hAnsi="Times New Roman"/>
                <w:sz w:val="26"/>
                <w:szCs w:val="26"/>
                <w:lang w:val="vi-VN" w:eastAsia="vi-VN"/>
              </w:rPr>
              <w:t>ạ tầng hoặc có điều kiện, định hướng đầu tư hạ tầng phục vụ sản xuất và liên kết bao gồm: Giao thông nội vùng, thủy lợi, điện; Hạ tầng kỹ thuật bảo vệ môi trường</w:t>
            </w:r>
            <w:r w:rsidRPr="00ED5BEC">
              <w:rPr>
                <w:rFonts w:ascii="Times New Roman" w:hAnsi="Times New Roman"/>
                <w:spacing w:val="3"/>
                <w:sz w:val="26"/>
                <w:szCs w:val="26"/>
                <w:shd w:val="clear" w:color="auto" w:fill="FFFFFF"/>
                <w:lang w:val="vi-VN"/>
              </w:rPr>
              <w:t>.</w:t>
            </w:r>
          </w:p>
          <w:p w:rsidR="00ED5BEC" w:rsidRPr="00ED5BEC" w:rsidRDefault="00ED5BEC" w:rsidP="00ED5B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sz w:val="26"/>
                <w:szCs w:val="26"/>
                <w:lang w:val="vi-VN" w:eastAsia="vi-VN"/>
              </w:rPr>
            </w:pPr>
            <w:r w:rsidRPr="00ED5BEC">
              <w:rPr>
                <w:rFonts w:ascii="Times New Roman" w:eastAsia="Times New Roman" w:hAnsi="Times New Roman"/>
                <w:sz w:val="26"/>
                <w:szCs w:val="26"/>
                <w:lang w:val="vi-VN" w:eastAsia="vi-VN"/>
              </w:rPr>
              <w:t xml:space="preserve">3. Tổ chức sản xuất và liên kết: Có sự tham gia của hợp tác xã, liên hiệp hợp tác xã hoặc tổ chức đại </w:t>
            </w:r>
            <w:r w:rsidRPr="00ED5BEC">
              <w:rPr>
                <w:rFonts w:ascii="Times New Roman" w:eastAsia="Times New Roman" w:hAnsi="Times New Roman"/>
                <w:sz w:val="26"/>
                <w:szCs w:val="26"/>
                <w:lang w:val="vi-VN" w:eastAsia="vi-VN"/>
              </w:rPr>
              <w:lastRenderedPageBreak/>
              <w:t>diện của nông dân; Có hợp đồng liên kết với doanh nghiệp về sản xuất và tiêu thụ sản phẩm.</w:t>
            </w:r>
          </w:p>
          <w:p w:rsidR="00D80A98" w:rsidRDefault="00ED5BEC" w:rsidP="00ED5B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kern w:val="0"/>
                <w:sz w:val="26"/>
                <w:szCs w:val="26"/>
                <w:lang w:val="vi-VN" w:eastAsia="en-SG"/>
              </w:rPr>
            </w:pPr>
            <w:r w:rsidRPr="00ED5BEC">
              <w:rPr>
                <w:rFonts w:ascii="Times New Roman" w:eastAsia="Times New Roman" w:hAnsi="Times New Roman"/>
                <w:sz w:val="26"/>
                <w:szCs w:val="26"/>
                <w:lang w:val="vi-VN" w:eastAsia="vi-VN"/>
              </w:rPr>
              <w:t xml:space="preserve">4. </w:t>
            </w:r>
            <w:r w:rsidRPr="00ED5BEC">
              <w:rPr>
                <w:rFonts w:ascii="Times New Roman" w:eastAsia="Times New Roman" w:hAnsi="Times New Roman"/>
                <w:sz w:val="26"/>
                <w:szCs w:val="26"/>
                <w:lang w:eastAsia="vi-VN"/>
              </w:rPr>
              <w:t xml:space="preserve">Sản xuất theo quy trình thống nhất, đảm bảo một trong các tiêu chuẩn quản lý chất lượng, có ứng dụng </w:t>
            </w:r>
            <w:r w:rsidRPr="00ED5BEC">
              <w:rPr>
                <w:rFonts w:ascii="Times New Roman" w:eastAsia="Times New Roman" w:hAnsi="Times New Roman"/>
                <w:sz w:val="26"/>
                <w:szCs w:val="26"/>
                <w:lang w:val="vi-VN" w:eastAsia="vi-VN"/>
              </w:rPr>
              <w:t xml:space="preserve">khoa học công nghệ, chuyển đổi số, chuyển đổi xanh như: </w:t>
            </w:r>
            <w:r w:rsidRPr="00ED5BEC">
              <w:rPr>
                <w:rFonts w:ascii="Times New Roman" w:eastAsia="Times New Roman" w:hAnsi="Times New Roman"/>
                <w:sz w:val="26"/>
                <w:szCs w:val="26"/>
                <w:lang w:eastAsia="vi-VN"/>
              </w:rPr>
              <w:t>Q</w:t>
            </w:r>
            <w:r w:rsidRPr="00ED5BEC">
              <w:rPr>
                <w:rFonts w:ascii="Times New Roman" w:eastAsia="Times New Roman" w:hAnsi="Times New Roman"/>
                <w:sz w:val="26"/>
                <w:szCs w:val="26"/>
                <w:lang w:val="vi-VN" w:eastAsia="vi-VN"/>
              </w:rPr>
              <w:t>uy trình canh tác hữu cơ, an toàn toàn thực phẩm, thực hành sản xuất nông nghiệp tốt (GAP), an toàn sinh học, tuần hoàn, quy trình canh tác giảm phát thải, ứng dụng công nghệ số, tự động</w:t>
            </w:r>
            <w:r w:rsidRPr="00ED5BEC">
              <w:rPr>
                <w:rFonts w:ascii="Times New Roman" w:eastAsia="Times New Roman" w:hAnsi="Times New Roman"/>
                <w:sz w:val="26"/>
                <w:szCs w:val="26"/>
                <w:lang w:eastAsia="vi-VN"/>
              </w:rPr>
              <w:t>, truy xuất nguồn gốc</w:t>
            </w:r>
            <w:r w:rsidRPr="00ED5BEC">
              <w:rPr>
                <w:rFonts w:ascii="Times New Roman" w:eastAsia="Times New Roman" w:hAnsi="Times New Roman"/>
                <w:sz w:val="26"/>
                <w:szCs w:val="26"/>
                <w:lang w:val="vi-VN" w:eastAsia="vi-VN"/>
              </w:rPr>
              <w:t xml:space="preserve">; </w:t>
            </w:r>
            <w:r w:rsidRPr="00ED5BEC">
              <w:rPr>
                <w:rFonts w:ascii="Times New Roman" w:eastAsia="Times New Roman" w:hAnsi="Times New Roman"/>
                <w:sz w:val="26"/>
                <w:szCs w:val="26"/>
                <w:lang w:eastAsia="vi-VN"/>
              </w:rPr>
              <w:t>á</w:t>
            </w:r>
            <w:r w:rsidRPr="00ED5BEC">
              <w:rPr>
                <w:rFonts w:ascii="Times New Roman" w:eastAsia="Times New Roman" w:hAnsi="Times New Roman"/>
                <w:sz w:val="26"/>
                <w:szCs w:val="26"/>
                <w:lang w:val="vi-VN" w:eastAsia="vi-VN"/>
              </w:rPr>
              <w:t>p dụng giống mới, tiến bộ kỹ thuật mới.</w:t>
            </w:r>
          </w:p>
        </w:tc>
        <w:tc>
          <w:tcPr>
            <w:tcW w:w="5529" w:type="dxa"/>
            <w:vAlign w:val="center"/>
          </w:tcPr>
          <w:p w:rsidR="00D80A98" w:rsidRDefault="002408E5">
            <w:pPr>
              <w:pStyle w:val="NormalWeb"/>
              <w:spacing w:before="120" w:beforeAutospacing="0" w:after="0" w:afterAutospacing="0"/>
              <w:ind w:firstLine="459"/>
              <w:jc w:val="both"/>
              <w:rPr>
                <w:sz w:val="26"/>
                <w:szCs w:val="26"/>
                <w:lang w:val="vi-VN"/>
              </w:rPr>
            </w:pPr>
            <w:r>
              <w:rPr>
                <w:sz w:val="26"/>
                <w:szCs w:val="26"/>
                <w:lang w:val="vi-VN"/>
              </w:rPr>
              <w:lastRenderedPageBreak/>
              <w:t>Lần đầu quy định bộ tiêu chí rõ ràng (quy mô, hạ tầng, liên kết, truy xuất, khoa học công nghệ…).</w:t>
            </w:r>
          </w:p>
          <w:p w:rsidR="00D80A98" w:rsidRDefault="002408E5">
            <w:pPr>
              <w:pStyle w:val="NormalWeb"/>
              <w:spacing w:before="120" w:beforeAutospacing="0" w:after="0" w:afterAutospacing="0"/>
              <w:ind w:firstLine="459"/>
              <w:jc w:val="both"/>
              <w:rPr>
                <w:sz w:val="26"/>
                <w:szCs w:val="26"/>
                <w:lang w:val="vi-VN"/>
              </w:rPr>
            </w:pPr>
            <w:r>
              <w:rPr>
                <w:rStyle w:val="Strong"/>
                <w:b w:val="0"/>
                <w:sz w:val="26"/>
                <w:szCs w:val="26"/>
                <w:lang w:val="vi-VN"/>
              </w:rPr>
              <w:t>Quy định nhằm</w:t>
            </w:r>
            <w:r>
              <w:rPr>
                <w:sz w:val="26"/>
                <w:szCs w:val="26"/>
                <w:lang w:val="vi-VN"/>
              </w:rPr>
              <w:t xml:space="preserve"> làm căn cứ xác định, lựa chọn và công nhận vùng nguyên liệu đủ điều kiện hưởng chính sách hỗ trợ; bảo đảm việc hỗ trợ có trọng tâm, đúng đối tượng, tránh dàn trải; đồng thời định hướng phát triển vùng nguyên liệu theo hướng tập trung, hiện đại, gắn với liên kết chuỗi giá trị, ứng dụng khoa học công nghệ, chuyển đổi số và phát triển bền vững.</w:t>
            </w:r>
          </w:p>
          <w:p w:rsidR="00D80A98" w:rsidRDefault="002408E5">
            <w:pPr>
              <w:pStyle w:val="NormalWeb"/>
              <w:spacing w:before="120" w:beforeAutospacing="0" w:after="0" w:afterAutospacing="0"/>
              <w:ind w:firstLine="459"/>
              <w:jc w:val="both"/>
              <w:rPr>
                <w:sz w:val="26"/>
                <w:szCs w:val="26"/>
                <w:lang w:val="vi-VN"/>
              </w:rPr>
            </w:pPr>
            <w:r>
              <w:rPr>
                <w:sz w:val="26"/>
                <w:szCs w:val="26"/>
                <w:lang w:val="vi-VN"/>
              </w:rPr>
              <w:t>Quy định cũng góp phần nâng cao hiệu quả quản lý nhà nước, minh bạch trong xét duyệt hỗ trợ.</w:t>
            </w:r>
          </w:p>
          <w:p w:rsidR="00D80A98" w:rsidRDefault="00D80A98">
            <w:pPr>
              <w:spacing w:before="120" w:after="0" w:line="240" w:lineRule="auto"/>
              <w:ind w:firstLine="459"/>
              <w:rPr>
                <w:rFonts w:ascii="Times New Roman" w:eastAsia="Times New Roman" w:hAnsi="Times New Roman"/>
                <w:kern w:val="0"/>
                <w:sz w:val="26"/>
                <w:szCs w:val="26"/>
                <w:lang w:val="vi-VN" w:eastAsia="en-SG"/>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vi-VN" w:eastAsia="en-SG"/>
              </w:rPr>
            </w:pPr>
            <w:r>
              <w:rPr>
                <w:rFonts w:ascii="Times New Roman" w:eastAsia="Times New Roman" w:hAnsi="Times New Roman"/>
                <w:kern w:val="0"/>
                <w:sz w:val="26"/>
                <w:szCs w:val="26"/>
                <w:lang w:val="vi-VN" w:eastAsia="en-SG"/>
              </w:rPr>
              <w:lastRenderedPageBreak/>
              <w:t>Chính sách dồn điền đổi thửa còn phân tán, căn cứ Luật đất đai năm 2025.</w:t>
            </w:r>
          </w:p>
        </w:tc>
        <w:tc>
          <w:tcPr>
            <w:tcW w:w="5891" w:type="dxa"/>
            <w:vAlign w:val="center"/>
          </w:tcPr>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Style w:val="Emphasis"/>
                <w:rFonts w:ascii="Times New Roman" w:hAnsi="Times New Roman"/>
                <w:b/>
                <w:bCs/>
                <w:i w:val="0"/>
                <w:sz w:val="26"/>
                <w:szCs w:val="26"/>
                <w:shd w:val="clear" w:color="auto" w:fill="FFFFFF"/>
                <w:lang w:val="vi-VN"/>
              </w:rPr>
            </w:pPr>
            <w:r w:rsidRPr="00CD0F50">
              <w:rPr>
                <w:rFonts w:ascii="Times New Roman" w:eastAsia="Times New Roman" w:hAnsi="Times New Roman"/>
                <w:b/>
                <w:bCs/>
                <w:sz w:val="26"/>
                <w:szCs w:val="26"/>
                <w:lang w:val="vi-VN" w:eastAsia="en-SG"/>
              </w:rPr>
              <w:t>Điều 5</w:t>
            </w:r>
            <w:r w:rsidRPr="00CD0F50">
              <w:rPr>
                <w:rFonts w:ascii="Times New Roman" w:eastAsia="Times New Roman" w:hAnsi="Times New Roman"/>
                <w:b/>
                <w:bCs/>
                <w:i/>
                <w:sz w:val="26"/>
                <w:szCs w:val="26"/>
                <w:lang w:val="vi-VN" w:eastAsia="en-SG"/>
              </w:rPr>
              <w:t xml:space="preserve">. </w:t>
            </w:r>
            <w:r w:rsidRPr="00CD0F50">
              <w:rPr>
                <w:rStyle w:val="Emphasis"/>
                <w:rFonts w:ascii="Times New Roman" w:hAnsi="Times New Roman"/>
                <w:b/>
                <w:bCs/>
                <w:i w:val="0"/>
                <w:sz w:val="26"/>
                <w:szCs w:val="26"/>
                <w:shd w:val="clear" w:color="auto" w:fill="FFFFFF"/>
              </w:rPr>
              <w:t>Hỗ trợ công tác</w:t>
            </w:r>
            <w:r w:rsidRPr="00CD0F50">
              <w:rPr>
                <w:rStyle w:val="Emphasis"/>
                <w:rFonts w:ascii="Times New Roman" w:hAnsi="Times New Roman"/>
                <w:b/>
                <w:bCs/>
                <w:i w:val="0"/>
                <w:sz w:val="26"/>
                <w:szCs w:val="26"/>
                <w:shd w:val="clear" w:color="auto" w:fill="FFFFFF"/>
                <w:lang w:val="vi-VN"/>
              </w:rPr>
              <w:t xml:space="preserve"> dồn điền, đổi thửa</w:t>
            </w:r>
          </w:p>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bCs/>
                <w:sz w:val="26"/>
                <w:szCs w:val="26"/>
                <w:lang w:val="vi-VN" w:eastAsia="vi-VN"/>
              </w:rPr>
            </w:pPr>
            <w:r w:rsidRPr="00CD0F50">
              <w:rPr>
                <w:rFonts w:ascii="Times New Roman" w:hAnsi="Times New Roman"/>
                <w:b/>
                <w:bCs/>
                <w:sz w:val="26"/>
                <w:szCs w:val="26"/>
                <w:lang w:val="vi-VN" w:eastAsia="vi-VN"/>
              </w:rPr>
              <w:t>1. Điều kiện hỗ trợ</w:t>
            </w:r>
          </w:p>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color w:val="FF0000"/>
                <w:sz w:val="26"/>
                <w:szCs w:val="26"/>
                <w:lang w:val="vi-VN" w:eastAsia="vi-VN"/>
              </w:rPr>
            </w:pPr>
            <w:r w:rsidRPr="00CD0F50">
              <w:rPr>
                <w:rFonts w:ascii="Times New Roman" w:hAnsi="Times New Roman"/>
                <w:color w:val="FF0000"/>
                <w:sz w:val="26"/>
                <w:szCs w:val="26"/>
              </w:rPr>
              <w:t xml:space="preserve">a. </w:t>
            </w:r>
            <w:r w:rsidRPr="00CD0F50">
              <w:rPr>
                <w:rFonts w:ascii="Times New Roman" w:hAnsi="Times New Roman"/>
                <w:color w:val="FF0000"/>
                <w:sz w:val="26"/>
                <w:szCs w:val="26"/>
                <w:lang w:val="vi-VN"/>
              </w:rPr>
              <w:t>Ủy ban nhân dân cấp xãxây dựng, ban hành và thực hiện hoàn thành phương án dồn điền, đổi thửa trên thực địa</w:t>
            </w:r>
            <w:r w:rsidRPr="00CD0F50">
              <w:rPr>
                <w:rFonts w:ascii="Times New Roman" w:hAnsi="Times New Roman"/>
                <w:color w:val="FF0000"/>
                <w:sz w:val="26"/>
                <w:szCs w:val="26"/>
              </w:rPr>
              <w:t>,</w:t>
            </w:r>
            <w:r w:rsidRPr="00CD0F50">
              <w:rPr>
                <w:rFonts w:ascii="Times New Roman" w:hAnsi="Times New Roman"/>
                <w:color w:val="FF0000"/>
                <w:sz w:val="26"/>
                <w:szCs w:val="26"/>
                <w:lang w:val="vi-VN"/>
              </w:rPr>
              <w:t xml:space="preserve"> bảo đảm mỗi hộ sử dụng từ 01 thửa – 02 thửa đất cùng một loại đất nông nghiệp (đất lúa hoặc đất trồng cây hàng năm)</w:t>
            </w:r>
            <w:r w:rsidRPr="00CD0F50">
              <w:rPr>
                <w:rFonts w:ascii="Times New Roman" w:hAnsi="Times New Roman"/>
                <w:color w:val="FF0000"/>
                <w:sz w:val="26"/>
                <w:szCs w:val="26"/>
              </w:rPr>
              <w:t xml:space="preserve">, </w:t>
            </w:r>
            <w:r w:rsidRPr="00CD0F50">
              <w:rPr>
                <w:rFonts w:ascii="Times New Roman" w:hAnsi="Times New Roman"/>
                <w:color w:val="FF0000"/>
                <w:sz w:val="26"/>
                <w:szCs w:val="26"/>
                <w:lang w:val="vi-VN"/>
              </w:rPr>
              <w:t xml:space="preserve">trong đó tối thiểu có 60% số hộ sử dụng bảo đảm 01 thửa/01 loại đất. Quy mô: </w:t>
            </w:r>
            <w:r w:rsidRPr="00CD0F50">
              <w:rPr>
                <w:rFonts w:ascii="Times New Roman" w:hAnsi="Times New Roman"/>
                <w:color w:val="FF0000"/>
                <w:sz w:val="26"/>
                <w:szCs w:val="26"/>
              </w:rPr>
              <w:t>Đ</w:t>
            </w:r>
            <w:r w:rsidRPr="00CD0F50">
              <w:rPr>
                <w:rFonts w:ascii="Times New Roman" w:hAnsi="Times New Roman"/>
                <w:color w:val="FF0000"/>
                <w:sz w:val="26"/>
                <w:szCs w:val="26"/>
                <w:lang w:val="vi-VN"/>
              </w:rPr>
              <w:t>ối với đất trồng lúa tối thiểu từ 50 ha/phương án; đối với đất tr</w:t>
            </w:r>
            <w:r w:rsidRPr="00CD0F50">
              <w:rPr>
                <w:rFonts w:ascii="Times New Roman" w:hAnsi="Times New Roman"/>
                <w:color w:val="FF0000"/>
                <w:sz w:val="26"/>
                <w:szCs w:val="26"/>
              </w:rPr>
              <w:t>ồng</w:t>
            </w:r>
            <w:r w:rsidRPr="00CD0F50">
              <w:rPr>
                <w:rFonts w:ascii="Times New Roman" w:hAnsi="Times New Roman"/>
                <w:color w:val="FF0000"/>
                <w:sz w:val="26"/>
                <w:szCs w:val="26"/>
                <w:lang w:val="vi-VN"/>
              </w:rPr>
              <w:t xml:space="preserve"> hàng năm tối thiểu từ 10 ha/phương án</w:t>
            </w:r>
            <w:r w:rsidRPr="00CD0F50">
              <w:rPr>
                <w:rFonts w:ascii="Times New Roman" w:hAnsi="Times New Roman"/>
                <w:color w:val="FF0000"/>
                <w:sz w:val="26"/>
                <w:szCs w:val="26"/>
                <w:lang w:val="vi-VN" w:eastAsia="vi-VN"/>
              </w:rPr>
              <w:t>.</w:t>
            </w:r>
          </w:p>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color w:val="FF0000"/>
                <w:sz w:val="26"/>
                <w:szCs w:val="26"/>
                <w:lang w:val="vi-VN" w:eastAsia="vi-VN"/>
              </w:rPr>
            </w:pPr>
            <w:r w:rsidRPr="00CD0F50">
              <w:rPr>
                <w:rFonts w:ascii="Times New Roman" w:hAnsi="Times New Roman"/>
                <w:color w:val="FF0000"/>
                <w:sz w:val="26"/>
                <w:szCs w:val="26"/>
                <w:lang w:eastAsia="vi-VN"/>
              </w:rPr>
              <w:t xml:space="preserve">b. Đối với nội dung hỗ trợ tại điểm c, khoản 2, Điều này thì ngoài đáp ứng điều kiện tại điểm a, khoản 1, Điều này thì phải </w:t>
            </w:r>
            <w:r w:rsidRPr="00CD0F50">
              <w:rPr>
                <w:rFonts w:ascii="Times New Roman" w:hAnsi="Times New Roman"/>
                <w:color w:val="FF0000"/>
                <w:sz w:val="26"/>
                <w:szCs w:val="26"/>
                <w:lang w:val="vi-VN" w:eastAsia="vi-VN"/>
              </w:rPr>
              <w:t xml:space="preserve">hoàn thành công tác đo đạc chỉnh lý bản đồ và cấp giấy chứng nhận quyền sử </w:t>
            </w:r>
            <w:r w:rsidRPr="00CD0F50">
              <w:rPr>
                <w:rFonts w:ascii="Times New Roman" w:hAnsi="Times New Roman"/>
                <w:color w:val="FF0000"/>
                <w:sz w:val="26"/>
                <w:szCs w:val="26"/>
                <w:lang w:val="vi-VN" w:eastAsia="vi-VN"/>
              </w:rPr>
              <w:lastRenderedPageBreak/>
              <w:t>dụng đất, được kiểm tra, nghiệm thu, phê duyệt theo đúng quy định</w:t>
            </w:r>
            <w:r w:rsidRPr="00CD0F50">
              <w:rPr>
                <w:rFonts w:ascii="Times New Roman" w:hAnsi="Times New Roman"/>
                <w:color w:val="FF0000"/>
                <w:sz w:val="26"/>
                <w:szCs w:val="26"/>
                <w:lang w:eastAsia="vi-VN"/>
              </w:rPr>
              <w:t>.</w:t>
            </w:r>
          </w:p>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bCs/>
                <w:sz w:val="26"/>
                <w:szCs w:val="26"/>
                <w:lang w:val="vi-VN" w:eastAsia="vi-VN"/>
              </w:rPr>
            </w:pPr>
            <w:r w:rsidRPr="00CD0F50">
              <w:rPr>
                <w:rFonts w:ascii="Times New Roman" w:hAnsi="Times New Roman"/>
                <w:b/>
                <w:bCs/>
                <w:sz w:val="26"/>
                <w:szCs w:val="26"/>
                <w:lang w:eastAsia="vi-VN"/>
              </w:rPr>
              <w:t>2.</w:t>
            </w:r>
            <w:r w:rsidRPr="00CD0F50">
              <w:rPr>
                <w:rFonts w:ascii="Times New Roman" w:hAnsi="Times New Roman"/>
                <w:b/>
                <w:bCs/>
                <w:sz w:val="26"/>
                <w:szCs w:val="26"/>
                <w:lang w:val="vi-VN" w:eastAsia="vi-VN"/>
              </w:rPr>
              <w:t xml:space="preserve"> Nội dung và mức hỗ trợ</w:t>
            </w:r>
          </w:p>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rPr>
            </w:pPr>
            <w:r w:rsidRPr="00CD0F50">
              <w:rPr>
                <w:rFonts w:ascii="Times New Roman" w:hAnsi="Times New Roman"/>
                <w:sz w:val="26"/>
                <w:szCs w:val="26"/>
                <w:lang w:eastAsia="vi-VN"/>
              </w:rPr>
              <w:t>a) H</w:t>
            </w:r>
            <w:r w:rsidRPr="00CD0F50">
              <w:rPr>
                <w:rFonts w:ascii="Times New Roman" w:hAnsi="Times New Roman"/>
                <w:sz w:val="26"/>
                <w:szCs w:val="26"/>
                <w:lang w:val="vi-VN" w:eastAsia="vi-VN"/>
              </w:rPr>
              <w:t xml:space="preserve">ỗ trợ 100% kinh phí </w:t>
            </w:r>
            <w:r w:rsidRPr="00CD0F50">
              <w:rPr>
                <w:rFonts w:ascii="Times New Roman" w:hAnsi="Times New Roman"/>
                <w:sz w:val="26"/>
                <w:szCs w:val="26"/>
                <w:lang w:eastAsia="vi-VN"/>
              </w:rPr>
              <w:t xml:space="preserve">cho các địa phương thực hiện công tác </w:t>
            </w:r>
            <w:r w:rsidRPr="00CD0F50">
              <w:rPr>
                <w:rFonts w:ascii="Times New Roman" w:hAnsi="Times New Roman"/>
                <w:sz w:val="26"/>
                <w:szCs w:val="26"/>
                <w:lang w:val="vi-VN" w:eastAsia="vi-VN"/>
              </w:rPr>
              <w:t>tuyên truyền</w:t>
            </w:r>
            <w:r w:rsidRPr="00CD0F50">
              <w:rPr>
                <w:rFonts w:ascii="Times New Roman" w:hAnsi="Times New Roman"/>
                <w:sz w:val="26"/>
                <w:szCs w:val="26"/>
                <w:lang w:eastAsia="vi-VN"/>
              </w:rPr>
              <w:t xml:space="preserve"> để</w:t>
            </w:r>
            <w:r w:rsidRPr="00CD0F50">
              <w:rPr>
                <w:rFonts w:ascii="Times New Roman" w:hAnsi="Times New Roman"/>
                <w:sz w:val="26"/>
                <w:szCs w:val="26"/>
                <w:lang w:val="vi-VN" w:eastAsia="vi-VN"/>
              </w:rPr>
              <w:t xml:space="preserve"> dồn điền đổi thửa</w:t>
            </w:r>
            <w:r w:rsidRPr="00CD0F50">
              <w:rPr>
                <w:rFonts w:ascii="Times New Roman" w:hAnsi="Times New Roman"/>
                <w:sz w:val="26"/>
                <w:szCs w:val="26"/>
                <w:lang w:eastAsia="vi-VN"/>
              </w:rPr>
              <w:t xml:space="preserve">. Giai đoạn 2026-2030, Ngân sách </w:t>
            </w:r>
            <w:r w:rsidRPr="00CD0F50">
              <w:rPr>
                <w:rFonts w:ascii="Times New Roman" w:hAnsi="Times New Roman"/>
                <w:sz w:val="26"/>
                <w:szCs w:val="26"/>
              </w:rPr>
              <w:t>hỗ trợ tối đa 5.000 ha.</w:t>
            </w:r>
          </w:p>
          <w:p w:rsidR="00CD0F50" w:rsidRPr="00CD0F50"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CD0F50">
              <w:rPr>
                <w:rFonts w:ascii="Times New Roman" w:hAnsi="Times New Roman"/>
                <w:sz w:val="26"/>
                <w:szCs w:val="26"/>
                <w:lang w:val="vi-VN" w:eastAsia="vi-VN"/>
              </w:rPr>
              <w:t xml:space="preserve">b) </w:t>
            </w:r>
            <w:r w:rsidRPr="00CD0F50">
              <w:rPr>
                <w:rFonts w:ascii="Times New Roman" w:hAnsi="Times New Roman"/>
                <w:sz w:val="26"/>
                <w:szCs w:val="26"/>
                <w:lang w:eastAsia="vi-VN"/>
              </w:rPr>
              <w:t>H</w:t>
            </w:r>
            <w:r w:rsidRPr="00CD0F50">
              <w:rPr>
                <w:rFonts w:ascii="Times New Roman" w:hAnsi="Times New Roman"/>
                <w:sz w:val="26"/>
                <w:szCs w:val="26"/>
                <w:lang w:val="vi-VN" w:eastAsia="vi-VN"/>
              </w:rPr>
              <w:t xml:space="preserve">ỗ trợ tối đa </w:t>
            </w:r>
            <w:r w:rsidRPr="00CD0F50">
              <w:rPr>
                <w:rFonts w:ascii="Times New Roman" w:hAnsi="Times New Roman"/>
                <w:sz w:val="26"/>
                <w:szCs w:val="26"/>
                <w:lang w:val="vi-VN"/>
              </w:rPr>
              <w:t>50%</w:t>
            </w:r>
            <w:r w:rsidRPr="00CD0F50">
              <w:rPr>
                <w:rFonts w:ascii="Times New Roman" w:hAnsi="Times New Roman"/>
                <w:sz w:val="26"/>
                <w:szCs w:val="26"/>
              </w:rPr>
              <w:t xml:space="preserve"> kinh phí san phẵng đồng ruộng, </w:t>
            </w:r>
            <w:r w:rsidRPr="00CD0F50">
              <w:rPr>
                <w:rFonts w:ascii="Times New Roman" w:hAnsi="Times New Roman"/>
                <w:sz w:val="26"/>
                <w:szCs w:val="26"/>
                <w:lang w:val="vi-VN"/>
              </w:rPr>
              <w:t>mức hỗ trợ không quá 10 triệu đồng/h</w:t>
            </w:r>
            <w:r w:rsidRPr="00CD0F50">
              <w:rPr>
                <w:rFonts w:ascii="Times New Roman" w:hAnsi="Times New Roman"/>
                <w:sz w:val="26"/>
                <w:szCs w:val="26"/>
              </w:rPr>
              <w:t xml:space="preserve">a. Giai đoạn 2026-2030, ngân sách </w:t>
            </w:r>
            <w:r w:rsidRPr="00CD0F50">
              <w:rPr>
                <w:rFonts w:ascii="Times New Roman" w:hAnsi="Times New Roman"/>
                <w:sz w:val="26"/>
                <w:szCs w:val="26"/>
                <w:lang w:val="vi-VN"/>
              </w:rPr>
              <w:t xml:space="preserve">hỗ trợ </w:t>
            </w:r>
            <w:r w:rsidRPr="00CD0F50">
              <w:rPr>
                <w:rFonts w:ascii="Times New Roman" w:hAnsi="Times New Roman"/>
                <w:sz w:val="26"/>
                <w:szCs w:val="26"/>
              </w:rPr>
              <w:t>tối đa 5.000 ha.</w:t>
            </w:r>
          </w:p>
          <w:p w:rsidR="00D80A98" w:rsidRDefault="00CD0F50" w:rsidP="00CD0F50">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kern w:val="0"/>
                <w:sz w:val="26"/>
                <w:szCs w:val="26"/>
                <w:lang w:val="en-SG" w:eastAsia="en-SG"/>
              </w:rPr>
            </w:pPr>
            <w:r w:rsidRPr="00CD0F50">
              <w:rPr>
                <w:rFonts w:ascii="Times New Roman" w:hAnsi="Times New Roman"/>
                <w:sz w:val="26"/>
                <w:szCs w:val="26"/>
                <w:lang w:eastAsia="vi-VN"/>
              </w:rPr>
              <w:t xml:space="preserve">c) </w:t>
            </w:r>
            <w:r w:rsidRPr="00CD0F50">
              <w:rPr>
                <w:rFonts w:ascii="Times New Roman" w:hAnsi="Times New Roman"/>
                <w:sz w:val="26"/>
                <w:szCs w:val="26"/>
                <w:shd w:val="clear" w:color="auto" w:fill="FFFFFF"/>
                <w:lang w:val="vi-VN"/>
              </w:rPr>
              <w:t xml:space="preserve">Hỗ trợ </w:t>
            </w:r>
            <w:r w:rsidRPr="00CD0F50">
              <w:rPr>
                <w:rFonts w:ascii="Times New Roman" w:hAnsi="Times New Roman"/>
                <w:sz w:val="26"/>
                <w:szCs w:val="26"/>
                <w:shd w:val="clear" w:color="auto" w:fill="FFFFFF"/>
              </w:rPr>
              <w:t xml:space="preserve">100% kinh phí </w:t>
            </w:r>
            <w:r w:rsidRPr="00CD0F50">
              <w:rPr>
                <w:rFonts w:ascii="Times New Roman" w:hAnsi="Times New Roman"/>
                <w:sz w:val="26"/>
                <w:szCs w:val="26"/>
                <w:shd w:val="clear" w:color="auto" w:fill="FFFFFF"/>
                <w:lang w:val="vi-VN"/>
              </w:rPr>
              <w:t xml:space="preserve">đo đạc, chỉnh lý hồ sơ địa chính, cấp Giấy chứng nhận quyền sử dụng đất, quyền sở hữu tài sản gắn liền với đất </w:t>
            </w:r>
            <w:r w:rsidRPr="00CD0F50">
              <w:rPr>
                <w:rFonts w:ascii="Times New Roman" w:hAnsi="Times New Roman"/>
                <w:sz w:val="26"/>
                <w:szCs w:val="26"/>
                <w:shd w:val="clear" w:color="auto" w:fill="FFFFFF"/>
              </w:rPr>
              <w:t>sau</w:t>
            </w:r>
            <w:r w:rsidRPr="00CD0F50">
              <w:rPr>
                <w:rFonts w:ascii="Times New Roman" w:hAnsi="Times New Roman"/>
                <w:sz w:val="26"/>
                <w:szCs w:val="26"/>
                <w:shd w:val="clear" w:color="auto" w:fill="FFFFFF"/>
                <w:lang w:val="vi-VN"/>
              </w:rPr>
              <w:t xml:space="preserve"> dồn điền, đổi thửa</w:t>
            </w:r>
            <w:r w:rsidRPr="00CD0F50">
              <w:rPr>
                <w:rFonts w:ascii="Times New Roman" w:hAnsi="Times New Roman"/>
                <w:sz w:val="26"/>
                <w:szCs w:val="26"/>
                <w:shd w:val="clear" w:color="auto" w:fill="FFFFFF"/>
              </w:rPr>
              <w:t>. Giai đoạn 2026-2030, ngân sách</w:t>
            </w:r>
            <w:r w:rsidRPr="00CD0F50">
              <w:rPr>
                <w:rFonts w:ascii="Times New Roman" w:hAnsi="Times New Roman"/>
                <w:sz w:val="26"/>
                <w:szCs w:val="26"/>
                <w:lang w:val="vi-VN" w:eastAsia="vi-VN"/>
              </w:rPr>
              <w:t xml:space="preserve"> hỗ trợ tối </w:t>
            </w:r>
            <w:r w:rsidRPr="00CD0F50">
              <w:rPr>
                <w:rFonts w:ascii="Times New Roman" w:hAnsi="Times New Roman"/>
                <w:sz w:val="26"/>
                <w:szCs w:val="26"/>
                <w:lang w:eastAsia="vi-VN"/>
              </w:rPr>
              <w:t>đa5</w:t>
            </w:r>
            <w:r w:rsidRPr="00CD0F50">
              <w:rPr>
                <w:rFonts w:ascii="Times New Roman" w:hAnsi="Times New Roman"/>
                <w:sz w:val="26"/>
                <w:szCs w:val="26"/>
                <w:lang w:val="vi-VN" w:eastAsia="vi-VN"/>
              </w:rPr>
              <w:t>.000 ha</w:t>
            </w:r>
            <w:r w:rsidRPr="00CD0F50">
              <w:rPr>
                <w:rFonts w:ascii="Times New Roman" w:hAnsi="Times New Roman"/>
                <w:sz w:val="26"/>
                <w:szCs w:val="26"/>
                <w:lang w:eastAsia="vi-VN"/>
              </w:rPr>
              <w:t xml:space="preserve">, </w:t>
            </w:r>
            <w:r w:rsidRPr="00CD0F50">
              <w:rPr>
                <w:rFonts w:ascii="Times New Roman" w:hAnsi="Times New Roman"/>
                <w:color w:val="FF0000"/>
                <w:sz w:val="26"/>
                <w:szCs w:val="26"/>
                <w:lang w:eastAsia="vi-VN"/>
              </w:rPr>
              <w:t xml:space="preserve">mức hỗ trợ </w:t>
            </w:r>
            <w:r w:rsidRPr="00CD0F50">
              <w:rPr>
                <w:rFonts w:ascii="Times New Roman" w:hAnsi="Times New Roman"/>
                <w:sz w:val="26"/>
                <w:szCs w:val="26"/>
                <w:lang w:eastAsia="vi-VN"/>
              </w:rPr>
              <w:t>theo quy định hiện hành.</w:t>
            </w: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Quy định hỗ trợ đồng bộ từ xây dựng, triển khai phương án dồn điền, đổi thửa đến đo đạc, chỉnh lý hồ sơ địa chính và cấp Giấy chứng nhận quyền sử dụng đất.</w:t>
            </w:r>
          </w:p>
          <w:p w:rsidR="00D80A98" w:rsidRDefault="002408E5">
            <w:pPr>
              <w:pStyle w:val="NormalWeb"/>
              <w:spacing w:before="120" w:beforeAutospacing="0" w:after="0" w:afterAutospacing="0"/>
              <w:ind w:firstLine="459"/>
              <w:jc w:val="both"/>
              <w:rPr>
                <w:sz w:val="26"/>
                <w:szCs w:val="26"/>
              </w:rPr>
            </w:pPr>
            <w:r>
              <w:rPr>
                <w:rStyle w:val="Strong"/>
                <w:b w:val="0"/>
                <w:sz w:val="26"/>
                <w:szCs w:val="26"/>
              </w:rPr>
              <w:t>Quy định nhằm</w:t>
            </w:r>
            <w:r>
              <w:rPr>
                <w:sz w:val="26"/>
                <w:szCs w:val="26"/>
              </w:rPr>
              <w:t xml:space="preserve"> thúc đẩy tích tụ, tập trung đất đai, khắc phục tình trạng manh mún, phân tán trong sản xuất nông nghiệp; tạo điều kiện thuận lợi cho cơ giới hóa, ứng dụng khoa học công nghệ và tổ chức sản xuất quy mô lớn. Đồng thời, góp phần hoàn thiện hồ sơ pháp lý về đất đai, nâng cao hiệu quả quản lý nhà nước và bảo đảm quyền, lợi ích hợp pháp của người sử dụng đất.</w:t>
            </w:r>
          </w:p>
          <w:p w:rsidR="00D80A98" w:rsidRDefault="002408E5">
            <w:pPr>
              <w:pStyle w:val="NormalWeb"/>
              <w:spacing w:before="120" w:beforeAutospacing="0" w:after="0" w:afterAutospacing="0"/>
              <w:ind w:firstLine="459"/>
              <w:rPr>
                <w:sz w:val="26"/>
                <w:szCs w:val="26"/>
              </w:rPr>
            </w:pPr>
            <w:r>
              <w:rPr>
                <w:sz w:val="26"/>
                <w:szCs w:val="26"/>
              </w:rPr>
              <w:t xml:space="preserve">Việc hỗ trợ kinh phí thực hiện các nội dung </w:t>
            </w:r>
            <w:r>
              <w:rPr>
                <w:sz w:val="26"/>
                <w:szCs w:val="26"/>
              </w:rPr>
              <w:lastRenderedPageBreak/>
              <w:t>này giúp đẩy nhanh tiến độ dồn điền, đổi thửa, giảm chi phí cho người dân và địa phương.</w:t>
            </w:r>
          </w:p>
          <w:p w:rsidR="00D80A98" w:rsidRDefault="00D80A98">
            <w:pPr>
              <w:spacing w:before="120" w:after="0" w:line="240" w:lineRule="auto"/>
              <w:ind w:firstLine="459"/>
              <w:rPr>
                <w:rFonts w:ascii="Times New Roman" w:eastAsia="Times New Roman" w:hAnsi="Times New Roman"/>
                <w:kern w:val="0"/>
                <w:sz w:val="26"/>
                <w:szCs w:val="26"/>
                <w:lang w:val="en-SG" w:eastAsia="en-SG"/>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Chưa có chính sách rõ về thuê đất, căn cứ Luật đất đai 2025</w:t>
            </w:r>
          </w:p>
        </w:tc>
        <w:tc>
          <w:tcPr>
            <w:tcW w:w="5891" w:type="dxa"/>
            <w:vAlign w:val="center"/>
          </w:tcPr>
          <w:p w:rsidR="003A199A"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b/>
                <w:iCs/>
                <w:sz w:val="26"/>
                <w:szCs w:val="26"/>
                <w:lang w:val="vi-VN"/>
              </w:rPr>
            </w:pPr>
            <w:r w:rsidRPr="003A199A">
              <w:rPr>
                <w:rFonts w:ascii="Times New Roman" w:hAnsi="Times New Roman"/>
                <w:b/>
                <w:sz w:val="26"/>
                <w:szCs w:val="26"/>
                <w:lang w:val="vi-VN" w:eastAsia="vi-VN"/>
              </w:rPr>
              <w:t>Điều 6</w:t>
            </w:r>
            <w:r w:rsidRPr="003A199A">
              <w:rPr>
                <w:rFonts w:ascii="Times New Roman" w:hAnsi="Times New Roman"/>
                <w:sz w:val="26"/>
                <w:szCs w:val="26"/>
                <w:lang w:val="vi-VN" w:eastAsia="vi-VN"/>
              </w:rPr>
              <w:t xml:space="preserve">. </w:t>
            </w:r>
            <w:r w:rsidRPr="003A199A">
              <w:rPr>
                <w:rFonts w:ascii="Times New Roman" w:hAnsi="Times New Roman"/>
                <w:b/>
                <w:iCs/>
                <w:sz w:val="26"/>
                <w:szCs w:val="26"/>
                <w:lang w:val="vi-VN"/>
              </w:rPr>
              <w:t xml:space="preserve">Hỗ trợ </w:t>
            </w:r>
            <w:r w:rsidRPr="003A199A">
              <w:rPr>
                <w:rFonts w:ascii="Times New Roman" w:hAnsi="Times New Roman"/>
                <w:b/>
                <w:iCs/>
                <w:sz w:val="26"/>
                <w:szCs w:val="26"/>
              </w:rPr>
              <w:t>thuê</w:t>
            </w:r>
            <w:r w:rsidRPr="003A199A">
              <w:rPr>
                <w:rFonts w:ascii="Times New Roman" w:hAnsi="Times New Roman"/>
                <w:b/>
                <w:iCs/>
                <w:sz w:val="26"/>
                <w:szCs w:val="26"/>
                <w:lang w:val="vi-VN"/>
              </w:rPr>
              <w:t xml:space="preserve"> quyền sử dụng đất nông nghiệp</w:t>
            </w:r>
          </w:p>
          <w:p w:rsidR="003A199A"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3A199A">
              <w:rPr>
                <w:rFonts w:ascii="Times New Roman" w:hAnsi="Times New Roman"/>
                <w:sz w:val="26"/>
                <w:szCs w:val="26"/>
                <w:lang w:val="vi-VN" w:eastAsia="vi-VN"/>
              </w:rPr>
              <w:t xml:space="preserve">1. Điều kiện hỗ trợ:Có hợp đồng thuê quyền sử dụng đất có thời hạn tối thiểu 05 năm (có xác nhận của UBND xã nơi thuê đất); </w:t>
            </w:r>
            <w:r w:rsidRPr="003A199A">
              <w:rPr>
                <w:rFonts w:ascii="Times New Roman" w:hAnsi="Times New Roman"/>
                <w:sz w:val="26"/>
                <w:szCs w:val="26"/>
                <w:lang w:eastAsia="vi-VN"/>
              </w:rPr>
              <w:t>c</w:t>
            </w:r>
            <w:r w:rsidRPr="003A199A">
              <w:rPr>
                <w:rFonts w:ascii="Times New Roman" w:hAnsi="Times New Roman"/>
                <w:sz w:val="26"/>
                <w:szCs w:val="26"/>
                <w:lang w:val="vi-VN" w:eastAsia="vi-VN"/>
              </w:rPr>
              <w:t xml:space="preserve">ó phương án sản xuất trên diện tích thuê quyền sử dụng đất phù hợp với quy định của pháp luật đất đai để thực hiện đầu tư phát triển theo định hướng nông nghiệp hữu cơ, nông nghiêp tuần hoàn, nông nghiệp xanh, nông nghiệp số, nông nghiệp công nghệ cao; </w:t>
            </w:r>
            <w:r w:rsidRPr="003A199A">
              <w:rPr>
                <w:rFonts w:ascii="Times New Roman" w:hAnsi="Times New Roman"/>
                <w:sz w:val="26"/>
                <w:szCs w:val="26"/>
                <w:lang w:eastAsia="vi-VN"/>
              </w:rPr>
              <w:t>c</w:t>
            </w:r>
            <w:r w:rsidRPr="003A199A">
              <w:rPr>
                <w:rFonts w:ascii="Times New Roman" w:hAnsi="Times New Roman"/>
                <w:sz w:val="26"/>
                <w:szCs w:val="26"/>
                <w:lang w:val="vi-VN" w:eastAsia="vi-VN"/>
              </w:rPr>
              <w:t xml:space="preserve">ó diện tích tối thiểu 05 </w:t>
            </w:r>
            <w:r w:rsidRPr="003A199A">
              <w:rPr>
                <w:rFonts w:ascii="Times New Roman" w:hAnsi="Times New Roman"/>
                <w:sz w:val="26"/>
                <w:szCs w:val="26"/>
                <w:lang w:val="vi-VN" w:eastAsia="vi-VN"/>
              </w:rPr>
              <w:lastRenderedPageBreak/>
              <w:t xml:space="preserve">ha/vùng trở lên, liền vùng, liền thửa. </w:t>
            </w:r>
          </w:p>
          <w:p w:rsidR="003A199A"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3A199A">
              <w:rPr>
                <w:rFonts w:ascii="Times New Roman" w:hAnsi="Times New Roman"/>
                <w:sz w:val="26"/>
                <w:szCs w:val="26"/>
                <w:lang w:val="vi-VN" w:eastAsia="vi-VN"/>
              </w:rPr>
              <w:t xml:space="preserve">2. Nội dung và mức hỗ trợ: </w:t>
            </w:r>
          </w:p>
          <w:p w:rsidR="003A199A"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3A199A">
              <w:rPr>
                <w:rFonts w:ascii="Times New Roman" w:hAnsi="Times New Roman"/>
                <w:sz w:val="26"/>
                <w:szCs w:val="26"/>
                <w:lang w:val="vi-VN"/>
              </w:rPr>
              <w:t>a) Đối với nhóm cây trồng cạn, cây ăn quả, cây công nghiệp dài ngày, cây dược liệu</w:t>
            </w:r>
            <w:r w:rsidRPr="003A199A">
              <w:rPr>
                <w:rFonts w:ascii="Times New Roman" w:hAnsi="Times New Roman"/>
                <w:sz w:val="26"/>
                <w:szCs w:val="26"/>
              </w:rPr>
              <w:t>:</w:t>
            </w:r>
            <w:r w:rsidRPr="003A199A">
              <w:rPr>
                <w:rFonts w:ascii="Times New Roman" w:hAnsi="Times New Roman"/>
                <w:sz w:val="26"/>
                <w:szCs w:val="26"/>
                <w:lang w:val="vi-VN"/>
              </w:rPr>
              <w:t xml:space="preserve"> 10 triệu đồng/ha/năm. </w:t>
            </w:r>
            <w:r w:rsidRPr="003A199A">
              <w:rPr>
                <w:rFonts w:ascii="Times New Roman" w:hAnsi="Times New Roman"/>
                <w:sz w:val="26"/>
                <w:szCs w:val="26"/>
              </w:rPr>
              <w:t xml:space="preserve">Giai đoạn 2026-2030, ngân sách </w:t>
            </w:r>
            <w:r w:rsidRPr="003A199A">
              <w:rPr>
                <w:rFonts w:ascii="Times New Roman" w:hAnsi="Times New Roman"/>
                <w:sz w:val="26"/>
                <w:szCs w:val="26"/>
                <w:lang w:val="vi-VN"/>
              </w:rPr>
              <w:t xml:space="preserve">hỗ trợ </w:t>
            </w:r>
            <w:r w:rsidRPr="003A199A">
              <w:rPr>
                <w:rFonts w:ascii="Times New Roman" w:hAnsi="Times New Roman"/>
                <w:sz w:val="26"/>
                <w:szCs w:val="26"/>
              </w:rPr>
              <w:t>tối đa 2.500 ha.</w:t>
            </w:r>
          </w:p>
          <w:p w:rsidR="003A199A"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3A199A">
              <w:rPr>
                <w:rFonts w:ascii="Times New Roman" w:hAnsi="Times New Roman"/>
                <w:sz w:val="26"/>
                <w:szCs w:val="26"/>
                <w:lang w:val="vi-VN"/>
              </w:rPr>
              <w:t xml:space="preserve">b) Đối với nhóm cây lúa, cây thức ăn chăn nuôi: </w:t>
            </w:r>
            <w:r w:rsidRPr="003A199A">
              <w:rPr>
                <w:rFonts w:ascii="Times New Roman" w:hAnsi="Times New Roman"/>
                <w:sz w:val="26"/>
                <w:szCs w:val="26"/>
              </w:rPr>
              <w:t>0</w:t>
            </w:r>
            <w:r w:rsidRPr="003A199A">
              <w:rPr>
                <w:rFonts w:ascii="Times New Roman" w:hAnsi="Times New Roman"/>
                <w:sz w:val="26"/>
                <w:szCs w:val="26"/>
                <w:lang w:val="vi-VN"/>
              </w:rPr>
              <w:t xml:space="preserve">5 triệu đồng/ha/năm. </w:t>
            </w:r>
            <w:r w:rsidRPr="003A199A">
              <w:rPr>
                <w:rFonts w:ascii="Times New Roman" w:hAnsi="Times New Roman"/>
                <w:sz w:val="26"/>
                <w:szCs w:val="26"/>
              </w:rPr>
              <w:t xml:space="preserve">Giai đoạn 2026-2030, ngân sách </w:t>
            </w:r>
            <w:r w:rsidRPr="003A199A">
              <w:rPr>
                <w:rFonts w:ascii="Times New Roman" w:hAnsi="Times New Roman"/>
                <w:sz w:val="26"/>
                <w:szCs w:val="26"/>
                <w:lang w:val="vi-VN"/>
              </w:rPr>
              <w:t xml:space="preserve">hỗ trợ </w:t>
            </w:r>
            <w:r w:rsidRPr="003A199A">
              <w:rPr>
                <w:rFonts w:ascii="Times New Roman" w:hAnsi="Times New Roman"/>
                <w:sz w:val="26"/>
                <w:szCs w:val="26"/>
              </w:rPr>
              <w:t>tối đa 5.000 ha.</w:t>
            </w:r>
          </w:p>
          <w:p w:rsidR="003A199A"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3A199A">
              <w:rPr>
                <w:rFonts w:ascii="Times New Roman" w:hAnsi="Times New Roman"/>
                <w:sz w:val="26"/>
                <w:szCs w:val="26"/>
                <w:lang w:val="vi-VN"/>
              </w:rPr>
              <w:t xml:space="preserve">c) Đối với thuỷ sản nuôi chủ lực (tôm sú, tôm thẻ chân trắng): 15 triệu đồng/ha/năm. </w:t>
            </w:r>
            <w:r w:rsidRPr="003A199A">
              <w:rPr>
                <w:rFonts w:ascii="Times New Roman" w:hAnsi="Times New Roman"/>
                <w:sz w:val="26"/>
                <w:szCs w:val="26"/>
              </w:rPr>
              <w:t xml:space="preserve">Giai đoạn 2026-2030, ngân sách </w:t>
            </w:r>
            <w:r w:rsidRPr="003A199A">
              <w:rPr>
                <w:rFonts w:ascii="Times New Roman" w:hAnsi="Times New Roman"/>
                <w:color w:val="FF0000"/>
                <w:sz w:val="26"/>
                <w:szCs w:val="26"/>
                <w:lang w:val="vi-VN"/>
              </w:rPr>
              <w:t xml:space="preserve">hỗ trợ </w:t>
            </w:r>
            <w:r w:rsidRPr="003A199A">
              <w:rPr>
                <w:rFonts w:ascii="Times New Roman" w:hAnsi="Times New Roman"/>
                <w:color w:val="FF0000"/>
                <w:sz w:val="26"/>
                <w:szCs w:val="26"/>
              </w:rPr>
              <w:t>tối đa 300 ha</w:t>
            </w:r>
            <w:r w:rsidRPr="003A199A">
              <w:rPr>
                <w:rFonts w:ascii="Times New Roman" w:hAnsi="Times New Roman"/>
                <w:sz w:val="26"/>
                <w:szCs w:val="26"/>
              </w:rPr>
              <w:t>.</w:t>
            </w:r>
          </w:p>
          <w:p w:rsidR="00D80A98" w:rsidRPr="003A199A" w:rsidRDefault="003A199A" w:rsidP="003A199A">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kern w:val="0"/>
                <w:sz w:val="26"/>
                <w:szCs w:val="26"/>
                <w:lang w:val="en-SG" w:eastAsia="en-SG"/>
              </w:rPr>
            </w:pPr>
            <w:r w:rsidRPr="003A199A">
              <w:rPr>
                <w:rFonts w:ascii="Times New Roman" w:hAnsi="Times New Roman"/>
                <w:sz w:val="26"/>
                <w:szCs w:val="26"/>
                <w:lang w:val="vi-VN"/>
              </w:rPr>
              <w:t>d) Trường hợp Hợp đồng thuê quyền sử dụng đất có giá trị thấp hơn các mức hỗ trợ tại các Điểm a, b, c, Khoản 2, Điều 6 của Nghị Quyết này thì mức hỗ trợ tối đa bằng với giá trị hợp đồng; Trường hợp Hợp đồng thuê quyền sử dụng đất có giá trị cao hơn mức hỗ trợ thì mức hỗ trợ tối đa theo quy định nêu trên</w:t>
            </w:r>
            <w:r w:rsidRPr="003A199A">
              <w:rPr>
                <w:rFonts w:ascii="Times New Roman" w:hAnsi="Times New Roman"/>
                <w:sz w:val="26"/>
                <w:szCs w:val="26"/>
                <w:lang w:val="en-SG"/>
              </w:rPr>
              <w:t>.</w:t>
            </w: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Chính sách nhằm thúc đẩy tích tụ, tập trung ruộng đất thông qua hình thức thuê quyền sử dụng đất – giải pháp linh hoạt, phù hợp thực tiễn, góp phần khắc phục tình trạng sản xuất manh mún. Quy định thời hạn thuê tối thiểu 05 năm và diện tích từ 05 ha liền vùng, liền thửa nhằm đảm bảo quy mô và tính ổn định để đầu tư dài hạn, áp dụng cơ giới hóa và công nghệ cao.</w:t>
            </w:r>
          </w:p>
          <w:p w:rsidR="00D80A98" w:rsidRDefault="002408E5">
            <w:pPr>
              <w:pStyle w:val="NormalWeb"/>
              <w:spacing w:before="120" w:beforeAutospacing="0" w:after="0" w:afterAutospacing="0"/>
              <w:ind w:firstLine="459"/>
              <w:jc w:val="both"/>
              <w:rPr>
                <w:sz w:val="26"/>
                <w:szCs w:val="26"/>
              </w:rPr>
            </w:pPr>
            <w:r>
              <w:rPr>
                <w:sz w:val="26"/>
                <w:szCs w:val="26"/>
              </w:rPr>
              <w:t xml:space="preserve">Mức hỗ trợ được phân theo từng lĩnh vực sản xuất để phù hợp chi phí và giá trị kinh tế, đồng </w:t>
            </w:r>
            <w:r>
              <w:rPr>
                <w:sz w:val="26"/>
                <w:szCs w:val="26"/>
              </w:rPr>
              <w:lastRenderedPageBreak/>
              <w:t>thời quy định mức trần nhằm đảm bảo cân đối ngân sách. Nguyên tắc hỗ trợ không vượt quá giá trị hợp đồng thuê giúp sử dụng hiệu quả nguồn lực nhà nước, tránh trục lợi chính sách.</w:t>
            </w:r>
          </w:p>
          <w:p w:rsidR="00D80A98" w:rsidRDefault="002408E5">
            <w:pPr>
              <w:pStyle w:val="NormalWeb"/>
              <w:spacing w:before="120" w:beforeAutospacing="0" w:after="0" w:afterAutospacing="0"/>
              <w:ind w:firstLine="459"/>
              <w:jc w:val="both"/>
              <w:rPr>
                <w:sz w:val="26"/>
                <w:szCs w:val="26"/>
              </w:rPr>
            </w:pPr>
            <w:r>
              <w:rPr>
                <w:sz w:val="26"/>
                <w:szCs w:val="26"/>
              </w:rPr>
              <w:t>Góp phần hình thành vùng sản xuất hàng hóa tập trung, nâng cao năng suất, chất lượng và thu hút doanh nghiệp đầu tư vào nông nghiệp theo hướng hiện đại, bền vững.</w:t>
            </w:r>
          </w:p>
          <w:p w:rsidR="00D80A98" w:rsidRDefault="00D80A98">
            <w:pPr>
              <w:spacing w:before="120" w:after="0" w:line="240" w:lineRule="auto"/>
              <w:ind w:firstLine="459"/>
              <w:rPr>
                <w:rFonts w:ascii="Times New Roman" w:eastAsia="Times New Roman" w:hAnsi="Times New Roman"/>
                <w:kern w:val="0"/>
                <w:sz w:val="26"/>
                <w:szCs w:val="26"/>
                <w:lang w:val="en-SG" w:eastAsia="en-SG"/>
              </w:rPr>
            </w:pPr>
          </w:p>
        </w:tc>
      </w:tr>
      <w:tr w:rsidR="00D70CAA" w:rsidTr="002F6E42">
        <w:tc>
          <w:tcPr>
            <w:tcW w:w="2898" w:type="dxa"/>
            <w:vAlign w:val="center"/>
          </w:tcPr>
          <w:p w:rsidR="00D70CAA" w:rsidRDefault="00D70CAA" w:rsidP="002F6E42">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Chính sách cơ giới hóa chưa đồng bộ</w:t>
            </w:r>
          </w:p>
        </w:tc>
        <w:tc>
          <w:tcPr>
            <w:tcW w:w="5891" w:type="dxa"/>
            <w:vAlign w:val="center"/>
          </w:tcPr>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rPr>
            </w:pPr>
            <w:r w:rsidRPr="00D70CAA">
              <w:rPr>
                <w:rFonts w:ascii="Times New Roman" w:hAnsi="Times New Roman"/>
                <w:b/>
                <w:sz w:val="26"/>
                <w:szCs w:val="26"/>
                <w:lang w:val="vi-VN"/>
              </w:rPr>
              <w:t xml:space="preserve">Điều </w:t>
            </w:r>
            <w:r w:rsidRPr="00D70CAA">
              <w:rPr>
                <w:rFonts w:ascii="Times New Roman" w:hAnsi="Times New Roman"/>
                <w:b/>
                <w:sz w:val="26"/>
                <w:szCs w:val="26"/>
              </w:rPr>
              <w:t>7</w:t>
            </w:r>
            <w:r w:rsidRPr="00D70CAA">
              <w:rPr>
                <w:rFonts w:ascii="Times New Roman" w:hAnsi="Times New Roman"/>
                <w:b/>
                <w:sz w:val="26"/>
                <w:szCs w:val="26"/>
                <w:lang w:val="vi-VN"/>
              </w:rPr>
              <w:t>. Hỗ trợ máy móc, trang thiết bị phục vụ cơ giới hoá</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D70CAA">
              <w:rPr>
                <w:rFonts w:ascii="Times New Roman" w:hAnsi="Times New Roman"/>
                <w:sz w:val="26"/>
                <w:szCs w:val="26"/>
                <w:lang w:val="vi-VN" w:eastAsia="vi-VN"/>
              </w:rPr>
              <w:t>1. Điều kiện hỗ trợ: Tổ chức, cá nhân nhận hỗ trợ máy móc phục vụ cơ giới hoá, hiện đại hoá sản xuất nông nghiệp phải đáp ứng đồng thời các điều kiện sau:</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color w:val="EE0000"/>
                <w:spacing w:val="-4"/>
                <w:sz w:val="26"/>
                <w:szCs w:val="26"/>
              </w:rPr>
            </w:pPr>
            <w:r w:rsidRPr="00D70CAA">
              <w:rPr>
                <w:rFonts w:ascii="Times New Roman" w:hAnsi="Times New Roman"/>
                <w:sz w:val="26"/>
                <w:szCs w:val="26"/>
                <w:lang w:val="vi-VN" w:eastAsia="vi-VN"/>
              </w:rPr>
              <w:t xml:space="preserve">a) Có Phương án thuyết minh đáp ứng tiêu chí để hình thành vùng nguyên liệu theo quy định tại </w:t>
            </w:r>
            <w:r w:rsidRPr="00D70CAA">
              <w:rPr>
                <w:rFonts w:ascii="Times New Roman" w:hAnsi="Times New Roman"/>
                <w:sz w:val="26"/>
                <w:szCs w:val="26"/>
                <w:lang w:val="vi-VN" w:eastAsia="vi-VN"/>
              </w:rPr>
              <w:lastRenderedPageBreak/>
              <w:t>Điều 4 của Nghị quyết này và được UBND cấp xã phê duyệt (trường hợp từ 02 xã trở lên do UBND tỉnh phê duyệt).</w:t>
            </w:r>
            <w:r w:rsidRPr="00D70CAA">
              <w:rPr>
                <w:rFonts w:ascii="Times New Roman" w:hAnsi="Times New Roman"/>
                <w:color w:val="EE0000"/>
                <w:sz w:val="26"/>
                <w:szCs w:val="26"/>
                <w:lang w:val="vi-VN" w:eastAsia="vi-VN"/>
              </w:rPr>
              <w:t xml:space="preserve">Riêng </w:t>
            </w:r>
            <w:r w:rsidRPr="00D70CAA">
              <w:rPr>
                <w:rFonts w:ascii="Times New Roman" w:hAnsi="Times New Roman"/>
                <w:color w:val="EE0000"/>
                <w:sz w:val="26"/>
                <w:szCs w:val="26"/>
                <w:lang w:eastAsia="vi-VN"/>
              </w:rPr>
              <w:t xml:space="preserve">cơ sở </w:t>
            </w:r>
            <w:r w:rsidRPr="00D70CAA">
              <w:rPr>
                <w:rFonts w:ascii="Times New Roman" w:hAnsi="Times New Roman"/>
                <w:color w:val="EE0000"/>
                <w:sz w:val="26"/>
                <w:szCs w:val="26"/>
                <w:lang w:val="vi-VN" w:eastAsia="vi-VN"/>
              </w:rPr>
              <w:t xml:space="preserve">giết mổ tập trung: </w:t>
            </w:r>
            <w:r w:rsidRPr="00D70CAA">
              <w:rPr>
                <w:rFonts w:ascii="Times New Roman" w:hAnsi="Times New Roman"/>
                <w:color w:val="EE0000"/>
                <w:sz w:val="26"/>
                <w:szCs w:val="26"/>
                <w:lang w:eastAsia="vi-VN"/>
              </w:rPr>
              <w:t>thuộc mạng lưới giết mổ động vật tập trung của UBND tỉnh, được phê duyệt chủ trương</w:t>
            </w:r>
            <w:r w:rsidRPr="00D70CAA">
              <w:rPr>
                <w:rFonts w:ascii="Times New Roman" w:hAnsi="Times New Roman"/>
                <w:color w:val="EE0000"/>
                <w:sz w:val="26"/>
                <w:szCs w:val="26"/>
                <w:lang w:val="vi-VN" w:eastAsia="vi-VN"/>
              </w:rPr>
              <w:t xml:space="preserve"> đầu tư, đáp ứng đủ điều kiện </w:t>
            </w:r>
            <w:r w:rsidRPr="00D70CAA">
              <w:rPr>
                <w:rFonts w:ascii="Times New Roman" w:hAnsi="Times New Roman"/>
                <w:color w:val="EE0000"/>
                <w:sz w:val="26"/>
                <w:szCs w:val="26"/>
                <w:lang w:eastAsia="vi-VN"/>
              </w:rPr>
              <w:t xml:space="preserve">tại </w:t>
            </w:r>
            <w:r w:rsidRPr="00D70CAA">
              <w:rPr>
                <w:rFonts w:ascii="Times New Roman" w:hAnsi="Times New Roman"/>
                <w:color w:val="EE0000"/>
                <w:spacing w:val="-4"/>
                <w:sz w:val="26"/>
                <w:szCs w:val="26"/>
                <w:lang w:val="vi-VN"/>
              </w:rPr>
              <w:t>Quy chuẩn kỹ thuật quốc gia về Yêu cầu vệ sinh thú y đối với cơ sở giết mổ động vật tập trung, an toàn thực phẩm và xử lý chất thải theo quy định của pháp luật về bảo vệ môi trường.</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D70CAA">
              <w:rPr>
                <w:rFonts w:ascii="Times New Roman" w:hAnsi="Times New Roman"/>
                <w:sz w:val="26"/>
                <w:szCs w:val="26"/>
                <w:lang w:val="vi-VN" w:eastAsia="vi-VN"/>
              </w:rPr>
              <w:t>b)Máy móc thiết bị đảm bảo đầy đủ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hoá (CO) theo mẫu quy định của Bộ Công thương; máy, thiết bị do các cơ sở sản xuất trong nước sản xuất, lắp ráp phải được công bố tiêu chuẩn chất lượng theo quy định của Uỷ ban tiêu chuẩn đo lường chất lượng quốc gia.</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rPr>
            </w:pPr>
            <w:r w:rsidRPr="00D70CAA">
              <w:rPr>
                <w:rFonts w:ascii="Times New Roman" w:hAnsi="Times New Roman"/>
                <w:spacing w:val="-4"/>
                <w:sz w:val="26"/>
                <w:szCs w:val="26"/>
                <w:lang w:val="vi-VN"/>
              </w:rPr>
              <w:t xml:space="preserve">c) </w:t>
            </w:r>
            <w:r w:rsidRPr="00D70CAA">
              <w:rPr>
                <w:rFonts w:ascii="Times New Roman" w:hAnsi="Times New Roman"/>
                <w:spacing w:val="-4"/>
                <w:sz w:val="26"/>
                <w:szCs w:val="26"/>
              </w:rPr>
              <w:t>C</w:t>
            </w:r>
            <w:r w:rsidRPr="00D70CAA">
              <w:rPr>
                <w:rFonts w:ascii="Times New Roman" w:hAnsi="Times New Roman"/>
                <w:sz w:val="26"/>
                <w:szCs w:val="26"/>
                <w:lang w:val="vi-VN"/>
              </w:rPr>
              <w:t xml:space="preserve">ó cam kết không được bán hoặc chuyển nhượng cho tổ chức, cá nhân khác và phục vụ sản xuất nông nghiệp trên địa bàn tối thiểu 36 tháng kể từ ngày </w:t>
            </w:r>
            <w:r w:rsidRPr="00D70CAA">
              <w:rPr>
                <w:rFonts w:ascii="Times New Roman" w:hAnsi="Times New Roman"/>
                <w:sz w:val="26"/>
                <w:szCs w:val="26"/>
              </w:rPr>
              <w:t>nhận</w:t>
            </w:r>
            <w:r w:rsidRPr="00D70CAA">
              <w:rPr>
                <w:rFonts w:ascii="Times New Roman" w:hAnsi="Times New Roman"/>
                <w:sz w:val="26"/>
                <w:szCs w:val="26"/>
                <w:lang w:val="vi-VN"/>
              </w:rPr>
              <w:t xml:space="preserve"> hỗ trợ.</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rPr>
            </w:pPr>
            <w:r w:rsidRPr="00D70CAA">
              <w:rPr>
                <w:rFonts w:ascii="Times New Roman" w:hAnsi="Times New Roman"/>
                <w:sz w:val="26"/>
                <w:szCs w:val="26"/>
                <w:lang w:val="vi-VN"/>
              </w:rPr>
              <w:t>d) Công suất của máy móc, thiết bị tối thiểu được quy định tại Phụ lục 1 của Nghị quyết này.</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pacing w:val="-4"/>
                <w:sz w:val="26"/>
                <w:szCs w:val="26"/>
                <w:lang w:val="vi-VN"/>
              </w:rPr>
            </w:pPr>
            <w:r w:rsidRPr="00D70CAA">
              <w:rPr>
                <w:rFonts w:ascii="Times New Roman" w:hAnsi="Times New Roman"/>
                <w:sz w:val="26"/>
                <w:szCs w:val="26"/>
                <w:lang w:val="vi-VN"/>
              </w:rPr>
              <w:t xml:space="preserve">2. </w:t>
            </w:r>
            <w:r w:rsidRPr="00D70CAA">
              <w:rPr>
                <w:rFonts w:ascii="Times New Roman" w:hAnsi="Times New Roman"/>
                <w:spacing w:val="-4"/>
                <w:sz w:val="26"/>
                <w:szCs w:val="26"/>
                <w:lang w:val="vi-VN"/>
              </w:rPr>
              <w:t>Nội dung và mức hỗ trợ:</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D70CAA">
              <w:rPr>
                <w:rFonts w:ascii="Times New Roman" w:hAnsi="Times New Roman"/>
                <w:spacing w:val="-4"/>
                <w:sz w:val="26"/>
                <w:szCs w:val="26"/>
                <w:lang w:val="vi-VN"/>
              </w:rPr>
              <w:t>a) Phương án 1: Hỗ trợ tối đa 50% kinh phí</w:t>
            </w:r>
            <w:r w:rsidRPr="00D70CAA">
              <w:rPr>
                <w:rFonts w:ascii="Times New Roman" w:hAnsi="Times New Roman"/>
                <w:spacing w:val="-4"/>
                <w:sz w:val="26"/>
                <w:szCs w:val="26"/>
              </w:rPr>
              <w:t xml:space="preserve">, </w:t>
            </w:r>
            <w:r w:rsidRPr="00D70CAA">
              <w:rPr>
                <w:rFonts w:ascii="Times New Roman" w:hAnsi="Times New Roman"/>
                <w:spacing w:val="-4"/>
                <w:sz w:val="26"/>
                <w:szCs w:val="26"/>
                <w:lang w:val="vi-VN"/>
              </w:rPr>
              <w:t xml:space="preserve">không </w:t>
            </w:r>
            <w:r w:rsidRPr="00D70CAA">
              <w:rPr>
                <w:rFonts w:ascii="Times New Roman" w:hAnsi="Times New Roman"/>
                <w:spacing w:val="-4"/>
                <w:sz w:val="26"/>
                <w:szCs w:val="26"/>
                <w:lang w:val="vi-VN"/>
              </w:rPr>
              <w:lastRenderedPageBreak/>
              <w:t xml:space="preserve">quá </w:t>
            </w:r>
            <w:r w:rsidRPr="00D70CAA">
              <w:rPr>
                <w:rFonts w:ascii="Times New Roman" w:hAnsi="Times New Roman"/>
                <w:color w:val="EE0000"/>
                <w:spacing w:val="-4"/>
                <w:sz w:val="26"/>
                <w:szCs w:val="26"/>
              </w:rPr>
              <w:t>300</w:t>
            </w:r>
            <w:r w:rsidRPr="00D70CAA">
              <w:rPr>
                <w:rFonts w:ascii="Times New Roman" w:hAnsi="Times New Roman"/>
                <w:spacing w:val="-4"/>
                <w:sz w:val="26"/>
                <w:szCs w:val="26"/>
                <w:lang w:val="vi-VN"/>
              </w:rPr>
              <w:t>triệu đồng/thiết bị, máy móc</w:t>
            </w:r>
            <w:r w:rsidRPr="00D70CAA">
              <w:rPr>
                <w:rFonts w:ascii="Times New Roman" w:hAnsi="Times New Roman"/>
                <w:spacing w:val="-4"/>
                <w:sz w:val="26"/>
                <w:szCs w:val="26"/>
              </w:rPr>
              <w:t xml:space="preserve">) </w:t>
            </w:r>
            <w:r w:rsidRPr="00D70CAA">
              <w:rPr>
                <w:rFonts w:ascii="Times New Roman" w:hAnsi="Times New Roman"/>
                <w:spacing w:val="-4"/>
                <w:sz w:val="26"/>
                <w:szCs w:val="26"/>
                <w:lang w:val="vi-VN"/>
              </w:rPr>
              <w:t xml:space="preserve"> cho các tổ chức, cá nhân để đầu tư máy móc, thiết bị mới phục vụ sản xuất, chế biến, bảo quản nông sản (m</w:t>
            </w:r>
            <w:r w:rsidRPr="00D70CAA">
              <w:rPr>
                <w:rFonts w:ascii="Times New Roman" w:hAnsi="Times New Roman"/>
                <w:sz w:val="26"/>
                <w:szCs w:val="26"/>
                <w:lang w:val="vi-VN" w:eastAsia="vi-VN"/>
              </w:rPr>
              <w:t xml:space="preserve">áy cấy, máy gặt đập liên hợp, </w:t>
            </w:r>
            <w:r w:rsidRPr="00D70CAA">
              <w:rPr>
                <w:rFonts w:ascii="Times New Roman" w:hAnsi="Times New Roman"/>
                <w:sz w:val="26"/>
                <w:szCs w:val="26"/>
                <w:lang w:eastAsia="vi-VN"/>
              </w:rPr>
              <w:t xml:space="preserve">thiết bị bay </w:t>
            </w:r>
            <w:r w:rsidRPr="00D70CAA">
              <w:rPr>
                <w:rFonts w:ascii="Times New Roman" w:hAnsi="Times New Roman"/>
                <w:sz w:val="26"/>
                <w:szCs w:val="26"/>
                <w:lang w:val="vi-VN" w:eastAsia="vi-VN"/>
              </w:rPr>
              <w:t>không người lái (Drone), thiết bị cuốn rơm, kho lạnh bảo quản nông sả</w:t>
            </w:r>
            <w:r w:rsidRPr="00D70CAA">
              <w:rPr>
                <w:rFonts w:ascii="Times New Roman" w:hAnsi="Times New Roman"/>
                <w:sz w:val="26"/>
                <w:szCs w:val="26"/>
                <w:lang w:eastAsia="vi-VN"/>
              </w:rPr>
              <w:t>n</w:t>
            </w:r>
            <w:r w:rsidRPr="00D70CAA">
              <w:rPr>
                <w:rFonts w:ascii="Times New Roman" w:hAnsi="Times New Roman"/>
                <w:sz w:val="26"/>
                <w:szCs w:val="26"/>
                <w:lang w:val="vi-VN" w:eastAsia="vi-VN"/>
              </w:rPr>
              <w:t xml:space="preserve">; hệ thống sấy, sơ chế, chế biến nông sản; </w:t>
            </w:r>
            <w:r w:rsidRPr="00D70CAA">
              <w:rPr>
                <w:rFonts w:ascii="Times New Roman" w:hAnsi="Times New Roman"/>
                <w:sz w:val="26"/>
                <w:szCs w:val="26"/>
              </w:rPr>
              <w:t xml:space="preserve">máy quạt nước, máy sục khí (dạng bơm khí), máy sục khí kiểu khuyếch tán cho ao nuôi thủy sản, máy trộn thức ăn thủy sản tự động, máy cho ăn thủy sản tự động; </w:t>
            </w:r>
            <w:r w:rsidRPr="00D70CAA">
              <w:rPr>
                <w:rFonts w:ascii="Times New Roman" w:hAnsi="Times New Roman"/>
                <w:color w:val="000000" w:themeColor="text1"/>
                <w:sz w:val="26"/>
                <w:szCs w:val="26"/>
                <w:lang w:eastAsia="vi-VN"/>
              </w:rPr>
              <w:t xml:space="preserve">riêng </w:t>
            </w:r>
            <w:r w:rsidRPr="00D70CAA">
              <w:rPr>
                <w:rFonts w:ascii="Times New Roman" w:hAnsi="Times New Roman"/>
                <w:color w:val="EE0000"/>
                <w:sz w:val="26"/>
                <w:szCs w:val="26"/>
                <w:lang w:val="vi-VN" w:eastAsia="vi-VN"/>
              </w:rPr>
              <w:t xml:space="preserve">dây chuyền giết mổ </w:t>
            </w:r>
            <w:r w:rsidRPr="00D70CAA">
              <w:rPr>
                <w:rFonts w:ascii="Times New Roman" w:hAnsi="Times New Roman"/>
                <w:color w:val="EE0000"/>
                <w:sz w:val="26"/>
                <w:szCs w:val="26"/>
                <w:lang w:eastAsia="vi-VN"/>
              </w:rPr>
              <w:t>công nghiệp mức hỗ trợ không quá 1 tỷ đồng/1 dây chuyền. Giai đoạn 2026-2030, ngân sách hỗ trợ tối đa 150 các loại máy móc, thiết bị và 01 dây chuyền giết mổ công nghiệp.</w:t>
            </w:r>
          </w:p>
          <w:p w:rsid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kern w:val="0"/>
                <w:sz w:val="26"/>
                <w:szCs w:val="26"/>
                <w:lang w:val="en-SG" w:eastAsia="en-SG"/>
              </w:rPr>
            </w:pPr>
            <w:r w:rsidRPr="00D70CAA">
              <w:rPr>
                <w:rFonts w:ascii="Times New Roman" w:hAnsi="Times New Roman"/>
                <w:sz w:val="26"/>
                <w:szCs w:val="26"/>
                <w:lang w:val="vi-VN" w:eastAsia="vi-VN"/>
              </w:rPr>
              <w:t xml:space="preserve"> b) Phương án 2: </w:t>
            </w:r>
            <w:r w:rsidRPr="00D70CAA">
              <w:rPr>
                <w:rFonts w:ascii="Times New Roman" w:eastAsia="Times New Roman" w:hAnsi="Times New Roman"/>
                <w:sz w:val="26"/>
                <w:szCs w:val="26"/>
                <w:lang w:val="vi-VN"/>
              </w:rPr>
              <w:t>100% lãi suất vay theo hợp đồng vay vốn nhưng không vượt quá lãi suất của Ngân hàng Nông nghiệp và Phát triển nông thôn, thời hạn vay tối đa là 03 năm (36 tháng), mức vay được hỗ trợ tối đa 100% giá trị sản phẩm, tiến độ hỗ trợ theo kỳ trả lãi của ngân hàng.</w:t>
            </w:r>
          </w:p>
        </w:tc>
        <w:tc>
          <w:tcPr>
            <w:tcW w:w="5529" w:type="dxa"/>
            <w:vAlign w:val="center"/>
          </w:tcPr>
          <w:p w:rsidR="00D70CAA" w:rsidRDefault="00D70CAA" w:rsidP="002F6E42">
            <w:pPr>
              <w:pStyle w:val="NormalWeb"/>
              <w:spacing w:before="120" w:beforeAutospacing="0" w:after="0" w:afterAutospacing="0"/>
              <w:ind w:firstLine="459"/>
              <w:jc w:val="both"/>
              <w:rPr>
                <w:sz w:val="26"/>
                <w:szCs w:val="26"/>
              </w:rPr>
            </w:pPr>
            <w:r>
              <w:rPr>
                <w:sz w:val="26"/>
                <w:szCs w:val="26"/>
              </w:rPr>
              <w:lastRenderedPageBreak/>
              <w:t>Chính sách hỗ trợ máy móc, trang thiết bị nhằm thúc đẩy cơ giới hoá, hiện đại hoá sản xuất nông nghiệp, góp phần giảm chi phí lao động, nâng cao năng suất và chất lượng sản phẩm. Việc gắn điều kiện hỗ trợ với phương án hình thành vùng nguyên liệu giúp đảm bảo máy móc được sử dụng hiệu quả, phục vụ sản xuất quy mô tập trung.</w:t>
            </w:r>
          </w:p>
          <w:p w:rsidR="00D70CAA" w:rsidRDefault="00D70CAA" w:rsidP="002F6E42">
            <w:pPr>
              <w:pStyle w:val="NormalWeb"/>
              <w:spacing w:before="120" w:beforeAutospacing="0" w:after="0" w:afterAutospacing="0"/>
              <w:ind w:firstLine="459"/>
              <w:jc w:val="both"/>
              <w:rPr>
                <w:sz w:val="26"/>
                <w:szCs w:val="26"/>
              </w:rPr>
            </w:pPr>
            <w:r>
              <w:rPr>
                <w:sz w:val="26"/>
                <w:szCs w:val="26"/>
              </w:rPr>
              <w:lastRenderedPageBreak/>
              <w:t>Các quy định về tiêu chuẩn kỹ thuật, nguồn gốc, hồ sơ mua sắm và thẩm định giá nhằm kiểm soát chất lượng thiết bị, đảm bảo tính minh bạch và tránh thất thoát ngân sách. Đồng thời, yêu cầu cam kết không chuyển nhượng và sử dụng tối thiểu 36 tháng giúp hạn chế tình trạng lợi dụng chính sách.</w:t>
            </w:r>
          </w:p>
          <w:p w:rsidR="00D70CAA" w:rsidRDefault="00D70CAA" w:rsidP="002F6E42">
            <w:pPr>
              <w:pStyle w:val="NormalWeb"/>
              <w:spacing w:before="120" w:beforeAutospacing="0" w:after="0" w:afterAutospacing="0"/>
              <w:ind w:firstLine="459"/>
              <w:jc w:val="both"/>
              <w:rPr>
                <w:sz w:val="26"/>
                <w:szCs w:val="26"/>
              </w:rPr>
            </w:pPr>
            <w:r>
              <w:rPr>
                <w:sz w:val="26"/>
                <w:szCs w:val="26"/>
              </w:rPr>
              <w:t xml:space="preserve">Quy định về công suất tối thiểu của máy móc nhằm đảm bảo phù hợp với quy mô sản xuất, tránh đầu tư dàn trải, kém hiệu quả. Tổng thể, chính sách góp phần nâng cao mức độ cơ giới hoá, thúc đẩy sản xuất nông nghiệp theo hướng hiện đại, bền vững. Đưa ra </w:t>
            </w:r>
            <w:r>
              <w:rPr>
                <w:bCs/>
                <w:sz w:val="26"/>
                <w:szCs w:val="26"/>
              </w:rPr>
              <w:t>2 phương án hỗ trợ linh hoạt:</w:t>
            </w:r>
            <w:r>
              <w:rPr>
                <w:sz w:val="26"/>
                <w:szCs w:val="26"/>
              </w:rPr>
              <w:t xml:space="preserve"> hỗ trợ trực tiếp hoặc hỗ trợ lãi suất.</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Hỗ trợ hạ tầng còn hạn chế</w:t>
            </w:r>
          </w:p>
        </w:tc>
        <w:tc>
          <w:tcPr>
            <w:tcW w:w="5891" w:type="dxa"/>
            <w:vAlign w:val="center"/>
          </w:tcPr>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rPr>
            </w:pPr>
            <w:r w:rsidRPr="00D70CAA">
              <w:rPr>
                <w:rFonts w:ascii="Times New Roman" w:hAnsi="Times New Roman"/>
                <w:b/>
                <w:sz w:val="26"/>
                <w:szCs w:val="26"/>
                <w:lang w:val="vi-VN"/>
              </w:rPr>
              <w:t xml:space="preserve">Điều </w:t>
            </w:r>
            <w:r w:rsidRPr="00D70CAA">
              <w:rPr>
                <w:rFonts w:ascii="Times New Roman" w:hAnsi="Times New Roman"/>
                <w:b/>
                <w:sz w:val="26"/>
                <w:szCs w:val="26"/>
              </w:rPr>
              <w:t>8</w:t>
            </w:r>
            <w:r w:rsidRPr="00D70CAA">
              <w:rPr>
                <w:rFonts w:ascii="Times New Roman" w:hAnsi="Times New Roman"/>
                <w:b/>
                <w:sz w:val="26"/>
                <w:szCs w:val="26"/>
                <w:lang w:val="vi-VN"/>
              </w:rPr>
              <w:t xml:space="preserve">. Hỗ trợ đầu tư phát triển kết cấu hạ tầng </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Cs/>
                <w:sz w:val="26"/>
                <w:szCs w:val="26"/>
                <w:lang w:val="vi-VN" w:eastAsia="vi-VN"/>
              </w:rPr>
            </w:pPr>
            <w:r w:rsidRPr="00D70CAA">
              <w:rPr>
                <w:rFonts w:ascii="Times New Roman" w:hAnsi="Times New Roman"/>
                <w:bCs/>
                <w:sz w:val="26"/>
                <w:szCs w:val="26"/>
                <w:lang w:val="vi-VN" w:eastAsia="vi-VN"/>
              </w:rPr>
              <w:t>1.  Điều kiện hỗ trợ: Tổ chức, cá nhân được hỗ trợ đầu tư hạ tầng phục vụ phát triển vùng nguyên liệu nông nghiệp, thuỷ sản phải đáp ứng đồng thời các điều kiện sau:</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D70CAA">
              <w:rPr>
                <w:rFonts w:ascii="Times New Roman" w:hAnsi="Times New Roman"/>
                <w:sz w:val="26"/>
                <w:szCs w:val="26"/>
                <w:lang w:val="vi-VN" w:eastAsia="vi-VN"/>
              </w:rPr>
              <w:lastRenderedPageBreak/>
              <w:t xml:space="preserve">a) Có Phương án thuyết minh đáp ứng tiêu chí để hình thành vùng nguyên liệu theo quy định tại Điều 4 của Nghị quyết này và được UBND xã phê duyệt (trường hợp từ 02 xã trở lên do UBND tỉnh phê duyệt). </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eastAsia="vi-VN"/>
              </w:rPr>
            </w:pPr>
            <w:r w:rsidRPr="00D70CAA">
              <w:rPr>
                <w:rFonts w:ascii="Times New Roman" w:hAnsi="Times New Roman"/>
                <w:sz w:val="26"/>
                <w:szCs w:val="26"/>
                <w:lang w:val="vi-VN" w:eastAsia="vi-VN"/>
              </w:rPr>
              <w:t xml:space="preserve">b) Đối với đường giao thông nội vùng phải có khả năng kết nối liên thông vùng sản xuất với hệ thống đường giao thông hiện có, có quy mô cấp kỷ thuật  đường ô tô cấp VI theo </w:t>
            </w:r>
            <w:bookmarkStart w:id="3" w:name="tvpllink_zwhaxunmuk_4"/>
            <w:r w:rsidR="005D5139" w:rsidRPr="00D70CAA">
              <w:rPr>
                <w:rFonts w:ascii="Times New Roman" w:hAnsi="Times New Roman"/>
                <w:sz w:val="26"/>
                <w:szCs w:val="26"/>
                <w:lang w:eastAsia="vi-VN"/>
              </w:rPr>
              <w:fldChar w:fldCharType="begin"/>
            </w:r>
            <w:r w:rsidRPr="00D70CAA">
              <w:rPr>
                <w:rFonts w:ascii="Times New Roman" w:hAnsi="Times New Roman"/>
                <w:sz w:val="26"/>
                <w:szCs w:val="26"/>
                <w:lang w:val="vi-VN" w:eastAsia="vi-VN"/>
              </w:rPr>
              <w:instrText>HYPERLINK "https://thuvienphapluat.vn/TCVN/Giao-thong/TCVN-4054-2005-duong-oto-yeu-cau-thiet-ke-901834.aspx" \t "_blank"</w:instrText>
            </w:r>
            <w:r w:rsidR="005D5139" w:rsidRPr="00D70CAA">
              <w:rPr>
                <w:rFonts w:ascii="Times New Roman" w:hAnsi="Times New Roman"/>
                <w:sz w:val="26"/>
                <w:szCs w:val="26"/>
                <w:lang w:eastAsia="vi-VN"/>
              </w:rPr>
              <w:fldChar w:fldCharType="separate"/>
            </w:r>
            <w:r w:rsidRPr="00D70CAA">
              <w:rPr>
                <w:rStyle w:val="Hyperlink"/>
                <w:rFonts w:ascii="Times New Roman" w:hAnsi="Times New Roman"/>
                <w:sz w:val="26"/>
                <w:szCs w:val="26"/>
                <w:lang w:val="vi-VN" w:eastAsia="vi-VN"/>
              </w:rPr>
              <w:t>TCVN 4054:2005</w:t>
            </w:r>
            <w:r w:rsidR="005D5139" w:rsidRPr="00D70CAA">
              <w:rPr>
                <w:rFonts w:ascii="Times New Roman" w:hAnsi="Times New Roman"/>
                <w:sz w:val="26"/>
                <w:szCs w:val="26"/>
                <w:lang w:eastAsia="vi-VN"/>
              </w:rPr>
              <w:fldChar w:fldCharType="end"/>
            </w:r>
            <w:bookmarkEnd w:id="3"/>
            <w:r w:rsidRPr="00D70CAA">
              <w:rPr>
                <w:rFonts w:ascii="Times New Roman" w:hAnsi="Times New Roman"/>
                <w:sz w:val="26"/>
                <w:szCs w:val="26"/>
                <w:lang w:val="vi-VN" w:eastAsia="vi-VN"/>
              </w:rPr>
              <w:t xml:space="preserve"> hoặc đường GTNT cấp B theo TCVN 10380:2014, phù hợp với quy hoạch phát triển giao thông, quy hoạch chung của địa phương (nếu có); Đối với hệ thống thuỷ lợi phải đảm bảo chủ động cấp, thoát nước phục vụ sản xuất (kênh mương cấp nước phải kết nối với nguồn nước đã có từ hồ thủy lợi hoặc trạm bơm…; hệ thống kênh tiêu phải đảm bảo khả năng tiêu thoát kịp thời phục vụ sản xuất); Đối với hệ thống điện: có đăng ký nhu cầu sử dụng điện, thỏa thuận điểm đấu nối lưới điện hoặc phù hợp với quy hoạch điện (nếu có) theo yêu cầu ngành điện</w:t>
            </w:r>
            <w:r w:rsidRPr="00D70CAA">
              <w:rPr>
                <w:rFonts w:ascii="Times New Roman" w:hAnsi="Times New Roman"/>
                <w:sz w:val="26"/>
                <w:szCs w:val="26"/>
                <w:lang w:eastAsia="vi-VN"/>
              </w:rPr>
              <w:t xml:space="preserve">; Đối với hệ thống xử lý nước thải phải đảm bảo để trước khi thải ra môi trường đạt yêu cầu quy định tại QCVN 62-MT:2016/BTNMT mức độ B.  </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rPr>
            </w:pPr>
            <w:r w:rsidRPr="00D70CAA">
              <w:rPr>
                <w:rFonts w:ascii="Times New Roman" w:hAnsi="Times New Roman"/>
                <w:sz w:val="26"/>
                <w:szCs w:val="26"/>
                <w:lang w:val="vi-VN"/>
              </w:rPr>
              <w:t>2. Nội dung và mức hỗ trợ</w:t>
            </w:r>
          </w:p>
          <w:p w:rsidR="00D70CAA" w:rsidRPr="00D70CAA"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D70CAA">
              <w:rPr>
                <w:rFonts w:ascii="Times New Roman" w:hAnsi="Times New Roman"/>
                <w:sz w:val="26"/>
                <w:szCs w:val="26"/>
                <w:lang w:val="vi-VN" w:eastAsia="vi-VN"/>
              </w:rPr>
              <w:t>a) Hỗ trợ hạ tầng phục vụ sản xuất, sơ chế, chế biến, bảo quản và tiêu thụ sản phẩm, gồm: Hạ tầng vùng trồng trọt (</w:t>
            </w:r>
            <w:r w:rsidRPr="00D70CAA">
              <w:rPr>
                <w:rFonts w:ascii="Times New Roman" w:hAnsi="Times New Roman"/>
                <w:sz w:val="26"/>
                <w:szCs w:val="26"/>
                <w:lang w:eastAsia="vi-VN"/>
              </w:rPr>
              <w:t>hệ thống cấp nước tưới tiêu</w:t>
            </w:r>
            <w:r w:rsidRPr="00D70CAA">
              <w:rPr>
                <w:rFonts w:ascii="Times New Roman" w:hAnsi="Times New Roman"/>
                <w:sz w:val="26"/>
                <w:szCs w:val="26"/>
                <w:lang w:val="vi-VN" w:eastAsia="vi-VN"/>
              </w:rPr>
              <w:t xml:space="preserve">, đường </w:t>
            </w:r>
            <w:r w:rsidRPr="00D70CAA">
              <w:rPr>
                <w:rFonts w:ascii="Times New Roman" w:hAnsi="Times New Roman"/>
                <w:sz w:val="26"/>
                <w:szCs w:val="26"/>
                <w:lang w:val="vi-VN" w:eastAsia="vi-VN"/>
              </w:rPr>
              <w:lastRenderedPageBreak/>
              <w:t xml:space="preserve">giao thông nội vùng, điện); </w:t>
            </w:r>
            <w:r w:rsidRPr="00D70CAA">
              <w:rPr>
                <w:rFonts w:ascii="Times New Roman" w:hAnsi="Times New Roman"/>
                <w:sz w:val="26"/>
                <w:szCs w:val="26"/>
                <w:lang w:val="vi-VN"/>
              </w:rPr>
              <w:t>hạ tầng vùng nuôi thủy sản chủ lực  (điện, đường giao thông</w:t>
            </w:r>
            <w:r w:rsidRPr="00D70CAA">
              <w:rPr>
                <w:rFonts w:ascii="Times New Roman" w:hAnsi="Times New Roman"/>
                <w:sz w:val="26"/>
                <w:szCs w:val="26"/>
                <w:lang w:val="vi-VN" w:eastAsia="vi-VN"/>
              </w:rPr>
              <w:t xml:space="preserve"> nội vùng</w:t>
            </w:r>
            <w:r w:rsidRPr="00D70CAA">
              <w:rPr>
                <w:rFonts w:ascii="Times New Roman" w:hAnsi="Times New Roman"/>
                <w:sz w:val="26"/>
                <w:szCs w:val="26"/>
                <w:lang w:val="vi-VN"/>
              </w:rPr>
              <w:t xml:space="preserve">, </w:t>
            </w:r>
            <w:r w:rsidRPr="00D70CAA">
              <w:rPr>
                <w:rFonts w:ascii="Times New Roman" w:hAnsi="Times New Roman"/>
                <w:sz w:val="26"/>
                <w:szCs w:val="26"/>
              </w:rPr>
              <w:t>hệ thống cấp nước tưới tiêu</w:t>
            </w:r>
            <w:r w:rsidRPr="00D70CAA">
              <w:rPr>
                <w:rFonts w:ascii="Times New Roman" w:hAnsi="Times New Roman"/>
                <w:sz w:val="26"/>
                <w:szCs w:val="26"/>
                <w:lang w:val="vi-VN"/>
              </w:rPr>
              <w:t>, trạm bơm)</w:t>
            </w:r>
            <w:r w:rsidRPr="00D70CAA">
              <w:rPr>
                <w:rFonts w:ascii="Times New Roman" w:hAnsi="Times New Roman"/>
                <w:sz w:val="26"/>
                <w:szCs w:val="26"/>
              </w:rPr>
              <w:t>;</w:t>
            </w:r>
            <w:r w:rsidRPr="00D70CAA">
              <w:rPr>
                <w:rFonts w:ascii="Times New Roman" w:hAnsi="Times New Roman"/>
                <w:color w:val="EE0000"/>
                <w:sz w:val="26"/>
                <w:szCs w:val="26"/>
              </w:rPr>
              <w:t xml:space="preserve">hạ tầng vùng chăn nuôi tập trung, </w:t>
            </w:r>
            <w:r w:rsidRPr="00D70CAA">
              <w:rPr>
                <w:rFonts w:ascii="Times New Roman" w:hAnsi="Times New Roman"/>
                <w:color w:val="EE0000"/>
                <w:sz w:val="26"/>
                <w:szCs w:val="26"/>
                <w:lang w:val="vi-VN" w:eastAsia="vi-VN"/>
              </w:rPr>
              <w:t>cơ sở giết mổ tập trung (</w:t>
            </w:r>
            <w:r w:rsidRPr="00D70CAA">
              <w:rPr>
                <w:rFonts w:ascii="Times New Roman" w:hAnsi="Times New Roman"/>
                <w:color w:val="EE0000"/>
                <w:sz w:val="26"/>
                <w:szCs w:val="26"/>
                <w:lang w:eastAsia="vi-VN"/>
              </w:rPr>
              <w:t xml:space="preserve">đường giao thông, điện, </w:t>
            </w:r>
            <w:r w:rsidRPr="00D70CAA">
              <w:rPr>
                <w:rFonts w:ascii="Times New Roman" w:hAnsi="Times New Roman"/>
                <w:color w:val="EE0000"/>
                <w:sz w:val="26"/>
                <w:szCs w:val="26"/>
                <w:lang w:val="vi-VN" w:eastAsia="vi-VN"/>
              </w:rPr>
              <w:t xml:space="preserve">hệ thống xử lý nước thải). </w:t>
            </w:r>
            <w:r w:rsidRPr="00D70CAA">
              <w:rPr>
                <w:rFonts w:ascii="Times New Roman" w:hAnsi="Times New Roman"/>
                <w:sz w:val="26"/>
                <w:szCs w:val="26"/>
                <w:lang w:val="vi-VN" w:eastAsia="vi-VN"/>
              </w:rPr>
              <w:t>Mức hỗ trợ</w:t>
            </w:r>
            <w:r w:rsidRPr="00D70CAA">
              <w:rPr>
                <w:rFonts w:ascii="Times New Roman" w:hAnsi="Times New Roman"/>
                <w:sz w:val="26"/>
                <w:szCs w:val="26"/>
                <w:lang w:eastAsia="vi-VN"/>
              </w:rPr>
              <w:t xml:space="preserve"> không quá </w:t>
            </w:r>
            <w:r w:rsidRPr="00D70CAA">
              <w:rPr>
                <w:rFonts w:ascii="Times New Roman" w:hAnsi="Times New Roman"/>
                <w:sz w:val="26"/>
                <w:szCs w:val="26"/>
                <w:shd w:val="clear" w:color="auto" w:fill="FFFFFF"/>
              </w:rPr>
              <w:t>50</w:t>
            </w:r>
            <w:r w:rsidRPr="00D70CAA">
              <w:rPr>
                <w:rFonts w:ascii="Times New Roman" w:hAnsi="Times New Roman"/>
                <w:sz w:val="26"/>
                <w:szCs w:val="26"/>
                <w:shd w:val="clear" w:color="auto" w:fill="FFFFFF"/>
                <w:lang w:val="vi-VN"/>
              </w:rPr>
              <w:t>% tổng chi phí xây dựng hạ tầng phục vụ phát triển vùng nguyên liệu</w:t>
            </w:r>
            <w:r w:rsidRPr="00D70CAA">
              <w:rPr>
                <w:rFonts w:ascii="Times New Roman" w:hAnsi="Times New Roman"/>
                <w:sz w:val="26"/>
                <w:szCs w:val="26"/>
                <w:shd w:val="clear" w:color="auto" w:fill="FFFFFF"/>
              </w:rPr>
              <w:t xml:space="preserve"> và </w:t>
            </w:r>
            <w:r w:rsidRPr="00D70CAA">
              <w:rPr>
                <w:rFonts w:ascii="Times New Roman" w:hAnsi="Times New Roman"/>
                <w:sz w:val="26"/>
                <w:szCs w:val="26"/>
                <w:shd w:val="clear" w:color="auto" w:fill="FFFFFF"/>
                <w:lang w:val="vi-VN"/>
              </w:rPr>
              <w:t xml:space="preserve">không quá </w:t>
            </w:r>
            <w:r w:rsidRPr="00D70CAA">
              <w:rPr>
                <w:rFonts w:ascii="Times New Roman" w:hAnsi="Times New Roman"/>
                <w:sz w:val="26"/>
                <w:szCs w:val="26"/>
                <w:shd w:val="clear" w:color="auto" w:fill="FFFFFF"/>
              </w:rPr>
              <w:t>2</w:t>
            </w:r>
            <w:r w:rsidRPr="00D70CAA">
              <w:rPr>
                <w:rFonts w:ascii="Times New Roman" w:hAnsi="Times New Roman"/>
                <w:sz w:val="26"/>
                <w:szCs w:val="26"/>
                <w:shd w:val="clear" w:color="auto" w:fill="FFFFFF"/>
                <w:lang w:val="vi-VN"/>
              </w:rPr>
              <w:t xml:space="preserve"> tỷ đồng/</w:t>
            </w:r>
            <w:r w:rsidRPr="00D70CAA">
              <w:rPr>
                <w:rFonts w:ascii="Times New Roman" w:hAnsi="Times New Roman"/>
                <w:color w:val="FF0000"/>
                <w:sz w:val="26"/>
                <w:szCs w:val="26"/>
                <w:shd w:val="clear" w:color="auto" w:fill="FFFFFF"/>
              </w:rPr>
              <w:t>phương án, dự án đầu tư hạ tầng</w:t>
            </w:r>
            <w:r w:rsidRPr="00D70CAA">
              <w:rPr>
                <w:rFonts w:ascii="Times New Roman" w:hAnsi="Times New Roman"/>
                <w:sz w:val="26"/>
                <w:szCs w:val="26"/>
                <w:shd w:val="clear" w:color="auto" w:fill="FFFFFF"/>
              </w:rPr>
              <w:t xml:space="preserve">. </w:t>
            </w:r>
            <w:r w:rsidRPr="00D70CAA">
              <w:rPr>
                <w:rFonts w:ascii="Times New Roman" w:hAnsi="Times New Roman"/>
                <w:sz w:val="26"/>
                <w:szCs w:val="26"/>
              </w:rPr>
              <w:t xml:space="preserve">Giai đoạn 2026-2030, ngân sách hỗ trợ tối đa không quá 75 </w:t>
            </w:r>
            <w:r w:rsidRPr="00D70CAA">
              <w:rPr>
                <w:rFonts w:ascii="Times New Roman" w:hAnsi="Times New Roman"/>
                <w:color w:val="FF0000"/>
                <w:sz w:val="26"/>
                <w:szCs w:val="26"/>
                <w:shd w:val="clear" w:color="auto" w:fill="FFFFFF"/>
              </w:rPr>
              <w:t>phương án, dự án đầu tư hạ tầng.</w:t>
            </w:r>
          </w:p>
          <w:p w:rsidR="00D80A98" w:rsidRDefault="00D70CAA" w:rsidP="00D70CAA">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kern w:val="0"/>
                <w:sz w:val="26"/>
                <w:szCs w:val="26"/>
                <w:lang w:val="en-SG" w:eastAsia="en-SG"/>
              </w:rPr>
            </w:pPr>
            <w:r w:rsidRPr="00D70CAA">
              <w:rPr>
                <w:rFonts w:ascii="Times New Roman" w:hAnsi="Times New Roman"/>
                <w:sz w:val="26"/>
                <w:szCs w:val="26"/>
                <w:lang w:val="vi-VN" w:eastAsia="vi-VN"/>
              </w:rPr>
              <w:t xml:space="preserve">b) Hỗ trợ hạ tầng và giải pháp phục vụ chuyển đổi xanh, kinh tế tuần hoàn và chuyển đổi số: Hệ thống xử lý, tái chế phụ phẩm, chất thải nông nghiệp; công nghệ số phục vụ quản lý vùng nguyên liệu, bản đồ số vùng nguyên liệu; Các giải pháp giảm phát thải, thích ứng biến đổi khí hậu; mức hỗ trợ tối đa 50% kinh phí xây dựng nhưng không quá </w:t>
            </w:r>
            <w:r w:rsidRPr="00D70CAA">
              <w:rPr>
                <w:rFonts w:ascii="Times New Roman" w:hAnsi="Times New Roman"/>
                <w:sz w:val="26"/>
                <w:szCs w:val="26"/>
                <w:lang w:eastAsia="vi-VN"/>
              </w:rPr>
              <w:t>200</w:t>
            </w:r>
            <w:r w:rsidRPr="00D70CAA">
              <w:rPr>
                <w:rFonts w:ascii="Times New Roman" w:hAnsi="Times New Roman"/>
                <w:sz w:val="26"/>
                <w:szCs w:val="26"/>
                <w:lang w:val="vi-VN" w:eastAsia="vi-VN"/>
              </w:rPr>
              <w:t xml:space="preserve"> triệu đồng/giải pháp</w:t>
            </w:r>
            <w:r w:rsidRPr="00D70CAA">
              <w:rPr>
                <w:rFonts w:ascii="Times New Roman" w:hAnsi="Times New Roman"/>
                <w:color w:val="FF0000"/>
                <w:sz w:val="26"/>
                <w:szCs w:val="26"/>
                <w:lang w:eastAsia="vi-VN"/>
              </w:rPr>
              <w:t xml:space="preserve">, hệ thống. </w:t>
            </w:r>
            <w:r w:rsidRPr="00D70CAA">
              <w:rPr>
                <w:rFonts w:ascii="Times New Roman" w:hAnsi="Times New Roman"/>
                <w:sz w:val="26"/>
                <w:szCs w:val="26"/>
              </w:rPr>
              <w:t xml:space="preserve">Giai đoạn 2026-2030, ngân sách </w:t>
            </w:r>
            <w:r w:rsidRPr="00D70CAA">
              <w:rPr>
                <w:rFonts w:ascii="Times New Roman" w:hAnsi="Times New Roman"/>
                <w:sz w:val="26"/>
                <w:szCs w:val="26"/>
                <w:lang w:val="vi-VN"/>
              </w:rPr>
              <w:t xml:space="preserve">hỗ trợ </w:t>
            </w:r>
            <w:r w:rsidRPr="00D70CAA">
              <w:rPr>
                <w:rFonts w:ascii="Times New Roman" w:hAnsi="Times New Roman"/>
                <w:sz w:val="26"/>
                <w:szCs w:val="26"/>
              </w:rPr>
              <w:t>tối đa25 giải pháp,</w:t>
            </w:r>
            <w:r w:rsidRPr="00D70CAA">
              <w:rPr>
                <w:rFonts w:ascii="Times New Roman" w:hAnsi="Times New Roman"/>
                <w:color w:val="FF0000"/>
                <w:sz w:val="26"/>
                <w:szCs w:val="26"/>
              </w:rPr>
              <w:t xml:space="preserve"> hệ thống.</w:t>
            </w: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Nội dung này nhằm giải quyết những hạn chế hiện nay về hạ tầng sản xuất như: giao thông nội đồng, thủy lợi, điện, logistics và hạ tầng phục vụ chế biến, bảo quản, tiêu thụ nông sản.</w:t>
            </w:r>
          </w:p>
          <w:p w:rsidR="00D80A98" w:rsidRDefault="002408E5">
            <w:pPr>
              <w:pStyle w:val="NormalWeb"/>
              <w:spacing w:before="120" w:beforeAutospacing="0" w:after="0" w:afterAutospacing="0"/>
              <w:ind w:firstLine="459"/>
              <w:jc w:val="both"/>
              <w:rPr>
                <w:sz w:val="26"/>
                <w:szCs w:val="26"/>
              </w:rPr>
            </w:pPr>
            <w:r>
              <w:rPr>
                <w:sz w:val="26"/>
                <w:szCs w:val="26"/>
              </w:rPr>
              <w:t xml:space="preserve">Việc hỗ trợ một phần chi phí đầu tư hạ tầng sẽ tạo điều kiện hình thành các vùng sản xuất tập </w:t>
            </w:r>
            <w:r>
              <w:rPr>
                <w:sz w:val="26"/>
                <w:szCs w:val="26"/>
              </w:rPr>
              <w:lastRenderedPageBreak/>
              <w:t>trung, quy mô lớn, đáp ứng yêu cầu sản xuất hàng hóa và liên kết chuỗi giá trị. Đồng thời, chính sách cũng khuyến khích đầu tư các giải pháp phục vụ chuyển đổi số, kinh tế tuần hoàn và giảm phát thải, góp phần nâng cao hiệu quả sản xuất, bảo vệ môi trường và thích ứng với biến đổi khí hậu.</w:t>
            </w:r>
          </w:p>
          <w:p w:rsidR="00D80A98" w:rsidRDefault="002408E5">
            <w:pPr>
              <w:pStyle w:val="NormalWeb"/>
              <w:spacing w:before="120" w:beforeAutospacing="0" w:after="0" w:afterAutospacing="0"/>
              <w:ind w:firstLine="459"/>
              <w:jc w:val="both"/>
              <w:rPr>
                <w:sz w:val="26"/>
                <w:szCs w:val="26"/>
              </w:rPr>
            </w:pPr>
            <w:r>
              <w:rPr>
                <w:sz w:val="26"/>
                <w:szCs w:val="26"/>
              </w:rPr>
              <w:t>Quy định rõ điều kiện hỗ trợ, thẩm quyền phê duyệt và mức hỗ trợ nhằm đảm bảo tính minh bạch, khả thi trong tổ chức thực hiện, sử dụng hiệu quả nguồn lực ngân sách.</w:t>
            </w:r>
          </w:p>
          <w:p w:rsidR="00D80A98" w:rsidRDefault="00D80A98">
            <w:pPr>
              <w:spacing w:before="120" w:after="0" w:line="240" w:lineRule="auto"/>
              <w:ind w:firstLine="459"/>
              <w:rPr>
                <w:rFonts w:ascii="Times New Roman" w:eastAsia="Times New Roman" w:hAnsi="Times New Roman"/>
                <w:kern w:val="0"/>
                <w:sz w:val="26"/>
                <w:szCs w:val="26"/>
                <w:lang w:val="en-SG" w:eastAsia="en-SG"/>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Đào tạo kỹ thuật còn phân tán</w:t>
            </w:r>
          </w:p>
        </w:tc>
        <w:tc>
          <w:tcPr>
            <w:tcW w:w="5891" w:type="dxa"/>
            <w:vAlign w:val="center"/>
          </w:tcPr>
          <w:p w:rsidR="00DE34B8" w:rsidRPr="00DE34B8" w:rsidRDefault="00DE34B8" w:rsidP="00DE34B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bCs/>
                <w:sz w:val="26"/>
                <w:szCs w:val="26"/>
                <w:lang w:val="vi-VN" w:eastAsia="vi-VN"/>
              </w:rPr>
            </w:pPr>
            <w:r w:rsidRPr="00DE34B8">
              <w:rPr>
                <w:rFonts w:ascii="Times New Roman" w:hAnsi="Times New Roman"/>
                <w:b/>
                <w:bCs/>
                <w:sz w:val="26"/>
                <w:szCs w:val="26"/>
                <w:lang w:val="vi-VN"/>
              </w:rPr>
              <w:t>Điều 9. H</w:t>
            </w:r>
            <w:r w:rsidRPr="00DE34B8">
              <w:rPr>
                <w:rFonts w:ascii="Times New Roman" w:hAnsi="Times New Roman"/>
                <w:b/>
                <w:bCs/>
                <w:sz w:val="26"/>
                <w:szCs w:val="26"/>
                <w:lang w:val="vi-VN" w:eastAsia="vi-VN"/>
              </w:rPr>
              <w:t>ỗ trợ đào tạo</w:t>
            </w:r>
            <w:r w:rsidRPr="00DE34B8">
              <w:rPr>
                <w:rFonts w:ascii="Times New Roman" w:hAnsi="Times New Roman"/>
                <w:b/>
                <w:bCs/>
                <w:sz w:val="26"/>
                <w:szCs w:val="26"/>
                <w:lang w:eastAsia="vi-VN"/>
              </w:rPr>
              <w:t>,</w:t>
            </w:r>
            <w:r w:rsidRPr="00DE34B8">
              <w:rPr>
                <w:rFonts w:ascii="Times New Roman" w:hAnsi="Times New Roman"/>
                <w:b/>
                <w:bCs/>
                <w:sz w:val="26"/>
                <w:szCs w:val="26"/>
                <w:lang w:val="vi-VN" w:eastAsia="vi-VN"/>
              </w:rPr>
              <w:t xml:space="preserve"> chuyển giao kỹ thuật</w:t>
            </w:r>
          </w:p>
          <w:p w:rsidR="00DE34B8" w:rsidRPr="00DE34B8" w:rsidRDefault="00DE34B8" w:rsidP="00DE34B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lang w:val="vi-VN" w:eastAsia="vi-VN"/>
              </w:rPr>
            </w:pPr>
            <w:r w:rsidRPr="00DE34B8">
              <w:rPr>
                <w:rFonts w:ascii="Times New Roman" w:hAnsi="Times New Roman"/>
                <w:b/>
                <w:bCs/>
                <w:sz w:val="26"/>
                <w:szCs w:val="26"/>
                <w:lang w:val="vi-VN" w:eastAsia="vi-VN"/>
              </w:rPr>
              <w:tab/>
            </w:r>
            <w:r w:rsidRPr="00DE34B8">
              <w:rPr>
                <w:rFonts w:ascii="Times New Roman" w:hAnsi="Times New Roman"/>
                <w:bCs/>
                <w:sz w:val="26"/>
                <w:szCs w:val="26"/>
                <w:lang w:val="vi-VN" w:eastAsia="vi-VN"/>
              </w:rPr>
              <w:t>1. Điều kiện hỗ trợ:Tổ chức, cá nhân được hỗ trợ đào tạo kỹ thuật khi tham gia liên kết phát triển vùng nguyên liệu đáp ứng tiêu chí tại Điều 4 của Nghị quyết này.</w:t>
            </w:r>
          </w:p>
          <w:p w:rsidR="00DE34B8" w:rsidRPr="00DE34B8" w:rsidRDefault="00DE34B8" w:rsidP="00DE34B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DE34B8">
              <w:rPr>
                <w:rFonts w:ascii="Times New Roman" w:hAnsi="Times New Roman"/>
                <w:bCs/>
                <w:sz w:val="26"/>
                <w:szCs w:val="26"/>
                <w:lang w:val="vi-VN" w:eastAsia="vi-VN"/>
              </w:rPr>
              <w:t xml:space="preserve">  2. Nội dung và mức hỗ trợ: </w:t>
            </w:r>
            <w:r w:rsidRPr="00DE34B8">
              <w:rPr>
                <w:rFonts w:ascii="Times New Roman" w:hAnsi="Times New Roman"/>
                <w:bCs/>
                <w:sz w:val="26"/>
                <w:szCs w:val="26"/>
                <w:lang w:eastAsia="vi-VN"/>
              </w:rPr>
              <w:t>H</w:t>
            </w:r>
            <w:r w:rsidRPr="00DE34B8">
              <w:rPr>
                <w:rFonts w:ascii="Times New Roman" w:hAnsi="Times New Roman"/>
                <w:bCs/>
                <w:sz w:val="26"/>
                <w:szCs w:val="26"/>
                <w:lang w:val="vi-VN" w:eastAsia="vi-VN"/>
              </w:rPr>
              <w:t xml:space="preserve">ỗ trợ 100% kinh </w:t>
            </w:r>
            <w:r w:rsidRPr="00DE34B8">
              <w:rPr>
                <w:rFonts w:ascii="Times New Roman" w:hAnsi="Times New Roman"/>
                <w:bCs/>
                <w:sz w:val="26"/>
                <w:szCs w:val="26"/>
                <w:lang w:val="vi-VN" w:eastAsia="vi-VN"/>
              </w:rPr>
              <w:lastRenderedPageBreak/>
              <w:t xml:space="preserve">phí đào tạo, tập huấn, </w:t>
            </w:r>
            <w:r w:rsidRPr="00DE34B8">
              <w:rPr>
                <w:rFonts w:ascii="Times New Roman" w:hAnsi="Times New Roman"/>
                <w:bCs/>
                <w:sz w:val="26"/>
                <w:szCs w:val="26"/>
                <w:lang w:eastAsia="vi-VN"/>
              </w:rPr>
              <w:t xml:space="preserve">học tập kinh nghiệp, </w:t>
            </w:r>
            <w:r w:rsidRPr="00DE34B8">
              <w:rPr>
                <w:rFonts w:ascii="Times New Roman" w:hAnsi="Times New Roman"/>
                <w:bCs/>
                <w:sz w:val="26"/>
                <w:szCs w:val="26"/>
                <w:lang w:val="vi-VN" w:eastAsia="vi-VN"/>
              </w:rPr>
              <w:t xml:space="preserve">chuyển giao tiến bộ kỹ thuật mới vào phát triển vùng nguyên liệu với mức hỗ trợ </w:t>
            </w:r>
            <w:r w:rsidRPr="00DE34B8">
              <w:rPr>
                <w:rFonts w:ascii="Times New Roman" w:hAnsi="Times New Roman"/>
                <w:sz w:val="26"/>
                <w:szCs w:val="26"/>
                <w:lang w:val="vi-VN" w:eastAsia="vi-VN"/>
              </w:rPr>
              <w:t xml:space="preserve">tối đa </w:t>
            </w:r>
            <w:r w:rsidRPr="00DE34B8">
              <w:rPr>
                <w:rFonts w:ascii="Times New Roman" w:hAnsi="Times New Roman"/>
                <w:sz w:val="26"/>
                <w:szCs w:val="26"/>
                <w:lang w:eastAsia="vi-VN"/>
              </w:rPr>
              <w:t>50</w:t>
            </w:r>
            <w:r w:rsidRPr="00DE34B8">
              <w:rPr>
                <w:rFonts w:ascii="Times New Roman" w:hAnsi="Times New Roman"/>
                <w:sz w:val="26"/>
                <w:szCs w:val="26"/>
                <w:lang w:val="vi-VN" w:eastAsia="vi-VN"/>
              </w:rPr>
              <w:t xml:space="preserve"> triệu đồng/Phương án phát triển vùng nguyên liệu được phê duyệt. </w:t>
            </w:r>
            <w:r w:rsidRPr="00DE34B8">
              <w:rPr>
                <w:rFonts w:ascii="Times New Roman" w:hAnsi="Times New Roman"/>
                <w:sz w:val="26"/>
                <w:szCs w:val="26"/>
              </w:rPr>
              <w:t xml:space="preserve">Giai đoạn 2026-2030, ngân sách </w:t>
            </w:r>
            <w:r w:rsidRPr="00DE34B8">
              <w:rPr>
                <w:rFonts w:ascii="Times New Roman" w:hAnsi="Times New Roman"/>
                <w:sz w:val="26"/>
                <w:szCs w:val="26"/>
                <w:lang w:val="vi-VN"/>
              </w:rPr>
              <w:t xml:space="preserve">hỗ trợ </w:t>
            </w:r>
            <w:r w:rsidRPr="00DE34B8">
              <w:rPr>
                <w:rFonts w:ascii="Times New Roman" w:hAnsi="Times New Roman"/>
                <w:sz w:val="26"/>
                <w:szCs w:val="26"/>
              </w:rPr>
              <w:t>tối đa 75 phương án vùng nguyên liệu.</w:t>
            </w:r>
          </w:p>
          <w:p w:rsidR="00D80A98" w:rsidRDefault="00D80A98">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kern w:val="0"/>
                <w:sz w:val="26"/>
                <w:szCs w:val="26"/>
                <w:lang w:val="en-SG" w:eastAsia="en-SG"/>
              </w:rPr>
            </w:pP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 xml:space="preserve">Chính sách hỗ trợ đào tạo, chuyển giao kỹ thuật nhằm nâng cao năng lực sản xuất cho các tổ chức, cá nhân tham gia phát triển vùng nguyên liệu, đảm bảo áp dụng đồng bộ tiến bộ khoa học kỹ thuật vào thực tiễn. Việc gắn điều kiện hỗ trợ với liên kết sản xuất và tiêu chí vùng nguyên liệu </w:t>
            </w:r>
            <w:r>
              <w:rPr>
                <w:sz w:val="26"/>
                <w:szCs w:val="26"/>
              </w:rPr>
              <w:lastRenderedPageBreak/>
              <w:t>giúp đào tạo đúng đối tượng, tránh dàn trải.</w:t>
            </w:r>
          </w:p>
          <w:p w:rsidR="00D80A98" w:rsidRDefault="002408E5">
            <w:pPr>
              <w:pStyle w:val="NormalWeb"/>
              <w:spacing w:before="120" w:beforeAutospacing="0" w:after="0" w:afterAutospacing="0"/>
              <w:ind w:firstLine="459"/>
              <w:jc w:val="both"/>
              <w:rPr>
                <w:sz w:val="26"/>
                <w:szCs w:val="26"/>
              </w:rPr>
            </w:pPr>
            <w:r>
              <w:rPr>
                <w:sz w:val="26"/>
                <w:szCs w:val="26"/>
              </w:rPr>
              <w:t>Mức hỗ trợ 100% kinh phí thể hiện vai trò dẫn dắt của Nhà nước trong giai đoạn đầu, khuyến khích người dân, doanh nghiệp mạnh dạn tiếp cận kỹ thuật mới. Quy định mức trần theo phương án nhằm kiểm soát chi ngân sách và nâng cao hiệu quả sử dụng nguồn lực.</w:t>
            </w:r>
          </w:p>
          <w:p w:rsidR="00D80A98" w:rsidRDefault="002408E5">
            <w:pPr>
              <w:pStyle w:val="NormalWeb"/>
              <w:spacing w:before="120" w:beforeAutospacing="0" w:after="0" w:afterAutospacing="0"/>
              <w:ind w:firstLine="459"/>
              <w:jc w:val="both"/>
              <w:rPr>
                <w:sz w:val="26"/>
                <w:szCs w:val="26"/>
              </w:rPr>
            </w:pPr>
            <w:r>
              <w:rPr>
                <w:sz w:val="26"/>
                <w:szCs w:val="26"/>
              </w:rPr>
              <w:t>Chính sách góp phần nâng cao chất lượng nguồn nhân lực nông nghiệp, thúc đẩy áp dụng công nghệ, từ đó nâng cao năng suất, chất lượng và tính bền vững của vùng nguyên liệu.</w:t>
            </w:r>
          </w:p>
          <w:p w:rsidR="00D80A98" w:rsidRDefault="00D80A98">
            <w:pPr>
              <w:spacing w:before="120" w:after="0" w:line="240" w:lineRule="auto"/>
              <w:ind w:firstLine="459"/>
              <w:rPr>
                <w:rFonts w:ascii="Times New Roman" w:eastAsia="Times New Roman" w:hAnsi="Times New Roman"/>
                <w:kern w:val="0"/>
                <w:sz w:val="26"/>
                <w:szCs w:val="26"/>
                <w:lang w:val="en-SG" w:eastAsia="en-SG"/>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Chính sách hỗ trợ đầu vào hạn chế</w:t>
            </w:r>
          </w:p>
        </w:tc>
        <w:tc>
          <w:tcPr>
            <w:tcW w:w="5891" w:type="dxa"/>
            <w:vAlign w:val="center"/>
          </w:tcPr>
          <w:p w:rsidR="00B373EC" w:rsidRPr="00B373EC" w:rsidRDefault="00B373EC" w:rsidP="00B373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lang w:eastAsia="vi-VN"/>
              </w:rPr>
            </w:pPr>
            <w:r w:rsidRPr="00B373EC">
              <w:rPr>
                <w:rFonts w:ascii="Times New Roman" w:hAnsi="Times New Roman"/>
                <w:b/>
                <w:sz w:val="26"/>
                <w:szCs w:val="26"/>
                <w:lang w:val="vi-VN" w:eastAsia="vi-VN"/>
              </w:rPr>
              <w:t xml:space="preserve">Điều 10. Hỗ trợ </w:t>
            </w:r>
            <w:r w:rsidRPr="00B373EC">
              <w:rPr>
                <w:rFonts w:ascii="Times New Roman" w:hAnsi="Times New Roman"/>
                <w:b/>
                <w:sz w:val="26"/>
                <w:szCs w:val="26"/>
                <w:lang w:eastAsia="vi-VN"/>
              </w:rPr>
              <w:t xml:space="preserve">đầu vào phục vụ sản xuất </w:t>
            </w:r>
          </w:p>
          <w:p w:rsidR="00B373EC" w:rsidRPr="00B373EC" w:rsidRDefault="00B373EC" w:rsidP="00B373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lang w:val="vi-VN" w:eastAsia="vi-VN"/>
              </w:rPr>
            </w:pPr>
            <w:r w:rsidRPr="00B373EC">
              <w:rPr>
                <w:rFonts w:ascii="Times New Roman" w:hAnsi="Times New Roman"/>
                <w:sz w:val="26"/>
                <w:szCs w:val="26"/>
                <w:lang w:val="vi-VN" w:eastAsia="vi-VN"/>
              </w:rPr>
              <w:t xml:space="preserve">1. Điều kiện hỗ trợ: </w:t>
            </w:r>
            <w:r w:rsidRPr="00B373EC">
              <w:rPr>
                <w:rFonts w:ascii="Times New Roman" w:hAnsi="Times New Roman"/>
                <w:bCs/>
                <w:sz w:val="26"/>
                <w:szCs w:val="26"/>
                <w:lang w:val="vi-VN" w:eastAsia="vi-VN"/>
              </w:rPr>
              <w:t>Tổ chức, cá nhân tham gia liên kết phát triển vùng nguyên liệu theo Phương án thuyết minh đáp ứng tiêu chí tại Điều 4 của Nghị quyết này và được UBND cấp xã phê duyệt (trường hợp từ 2 xã trở lên do UBND cấp tỉnh phê duyệt).</w:t>
            </w:r>
          </w:p>
          <w:p w:rsidR="00B373EC" w:rsidRPr="0054151B" w:rsidRDefault="00B373EC" w:rsidP="00B373EC">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sz w:val="28"/>
                <w:szCs w:val="28"/>
              </w:rPr>
            </w:pPr>
            <w:r w:rsidRPr="00B373EC">
              <w:rPr>
                <w:rFonts w:ascii="Times New Roman" w:hAnsi="Times New Roman"/>
                <w:sz w:val="26"/>
                <w:szCs w:val="26"/>
                <w:lang w:val="vi-VN" w:eastAsia="vi-VN"/>
              </w:rPr>
              <w:t xml:space="preserve">2. Nội dung và mức hỗ trợ: </w:t>
            </w:r>
            <w:r w:rsidRPr="00B373EC">
              <w:rPr>
                <w:rFonts w:ascii="Times New Roman" w:hAnsi="Times New Roman"/>
                <w:sz w:val="26"/>
                <w:szCs w:val="26"/>
                <w:lang w:eastAsia="vi-VN"/>
              </w:rPr>
              <w:t>H</w:t>
            </w:r>
            <w:r w:rsidRPr="00B373EC">
              <w:rPr>
                <w:rFonts w:ascii="Times New Roman" w:hAnsi="Times New Roman"/>
                <w:sz w:val="26"/>
                <w:szCs w:val="26"/>
                <w:lang w:val="vi-VN" w:eastAsia="vi-VN"/>
              </w:rPr>
              <w:t>ỗ trợ tối đa 50% chi phí ở vùng đồng bằng, 70% chi phí ở vùng miền núi để mua giống, vật tư, phân bón, chế phẩm sinh học phục vụ sản xuất theo chuỗi giá trị, tối đa không quá 03 vụ hoặc 03 chu kỳ sản xuất</w:t>
            </w:r>
            <w:r w:rsidRPr="00B373EC">
              <w:rPr>
                <w:rFonts w:ascii="Times New Roman" w:hAnsi="Times New Roman"/>
                <w:sz w:val="26"/>
                <w:szCs w:val="26"/>
                <w:lang w:eastAsia="vi-VN"/>
              </w:rPr>
              <w:t xml:space="preserve"> đối với cây ngắn ngày, 03 năm đối với cây dài ngày</w:t>
            </w:r>
            <w:r w:rsidRPr="00B373EC">
              <w:rPr>
                <w:rFonts w:ascii="Times New Roman" w:hAnsi="Times New Roman"/>
                <w:sz w:val="26"/>
                <w:szCs w:val="26"/>
                <w:lang w:val="vi-VN" w:eastAsia="vi-VN"/>
              </w:rPr>
              <w:t xml:space="preserve">. Mức hỗ trợ tối đa 2 tỷ đồng/phương án. </w:t>
            </w:r>
            <w:r w:rsidRPr="00B373EC">
              <w:rPr>
                <w:rFonts w:ascii="Times New Roman" w:hAnsi="Times New Roman"/>
                <w:sz w:val="26"/>
                <w:szCs w:val="26"/>
              </w:rPr>
              <w:t xml:space="preserve">Giai đoạn 2026-2030, ngân sách </w:t>
            </w:r>
            <w:r w:rsidRPr="00B373EC">
              <w:rPr>
                <w:rFonts w:ascii="Times New Roman" w:hAnsi="Times New Roman"/>
                <w:sz w:val="26"/>
                <w:szCs w:val="26"/>
                <w:lang w:val="vi-VN"/>
              </w:rPr>
              <w:t xml:space="preserve">hỗ trợ </w:t>
            </w:r>
            <w:r w:rsidRPr="00B373EC">
              <w:rPr>
                <w:rFonts w:ascii="Times New Roman" w:hAnsi="Times New Roman"/>
                <w:sz w:val="26"/>
                <w:szCs w:val="26"/>
              </w:rPr>
              <w:t>tối đa 75 phương án vùng nguyên liệu.</w:t>
            </w:r>
          </w:p>
          <w:p w:rsidR="00D80A98" w:rsidRDefault="00D80A98">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kern w:val="0"/>
                <w:sz w:val="26"/>
                <w:szCs w:val="26"/>
                <w:lang w:val="en-SG" w:eastAsia="en-SG"/>
              </w:rPr>
            </w:pP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Chính sách hỗ trợ đầu vào nhằm giảm chi phí ban đầu cho tổ chức, cá nhân khi tham gia phát triển vùng nguyên liệu, qua đó khuyến khích mở rộng sản xuất theo chuỗi giá trị. Việc gắn hỗ trợ với phương án được phê duyệt và liên kết sản xuất giúp đảm bảo nguồn lực được sử dụng đúng mục đích, có kiểm soát.</w:t>
            </w:r>
          </w:p>
          <w:p w:rsidR="00D80A98" w:rsidRDefault="002408E5">
            <w:pPr>
              <w:pStyle w:val="NormalWeb"/>
              <w:spacing w:before="120" w:beforeAutospacing="0" w:after="0" w:afterAutospacing="0"/>
              <w:ind w:firstLine="459"/>
              <w:jc w:val="both"/>
              <w:rPr>
                <w:sz w:val="26"/>
                <w:szCs w:val="26"/>
              </w:rPr>
            </w:pPr>
            <w:r>
              <w:rPr>
                <w:sz w:val="26"/>
                <w:szCs w:val="26"/>
              </w:rPr>
              <w:t>Mức hỗ trợ phân theo khu vực (đồng bằng, miền núi) phản ánh sự khác biệt về điều kiện sản xuất, góp phần đảm bảo công bằng và ưu tiên vùng khó khăn. Quy định hỗ trợ thông qua hợp tác xã nhằm tăng tính liên kết, đồng bộ trong cung ứng vật tư, kiểm soát chất lượng đầu vào.</w:t>
            </w:r>
          </w:p>
          <w:p w:rsidR="00D80A98" w:rsidRDefault="002408E5">
            <w:pPr>
              <w:pStyle w:val="NormalWeb"/>
              <w:spacing w:before="120" w:beforeAutospacing="0" w:after="0" w:afterAutospacing="0"/>
              <w:ind w:firstLine="459"/>
              <w:jc w:val="both"/>
              <w:rPr>
                <w:sz w:val="26"/>
                <w:szCs w:val="26"/>
              </w:rPr>
            </w:pPr>
            <w:r>
              <w:rPr>
                <w:sz w:val="26"/>
                <w:szCs w:val="26"/>
              </w:rPr>
              <w:lastRenderedPageBreak/>
              <w:t>Giới hạn số vụ, chu kỳ và mức trần hỗ trợ giúp tránh phụ thuộc vào ngân sách, khuyến khích các chủ thể từng bước tự chủ sản xuất.</w:t>
            </w:r>
          </w:p>
          <w:p w:rsidR="00D80A98" w:rsidRDefault="00D80A98">
            <w:pPr>
              <w:spacing w:before="120" w:after="0" w:line="240" w:lineRule="auto"/>
              <w:ind w:firstLine="459"/>
              <w:rPr>
                <w:rFonts w:ascii="Times New Roman" w:eastAsia="Times New Roman" w:hAnsi="Times New Roman"/>
                <w:kern w:val="0"/>
                <w:sz w:val="26"/>
                <w:szCs w:val="26"/>
                <w:lang w:val="en-SG" w:eastAsia="en-SG"/>
              </w:rPr>
            </w:pP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Quy định truy xuất, chứng nhận còn rời rạc</w:t>
            </w:r>
          </w:p>
        </w:tc>
        <w:tc>
          <w:tcPr>
            <w:tcW w:w="5891" w:type="dxa"/>
            <w:vAlign w:val="center"/>
          </w:tcPr>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color w:val="EE0000"/>
                <w:sz w:val="26"/>
                <w:szCs w:val="26"/>
                <w:lang w:eastAsia="vi-VN"/>
              </w:rPr>
            </w:pPr>
            <w:r w:rsidRPr="003826A5">
              <w:rPr>
                <w:rFonts w:ascii="Times New Roman" w:hAnsi="Times New Roman"/>
                <w:b/>
                <w:bCs/>
                <w:sz w:val="26"/>
                <w:szCs w:val="26"/>
                <w:lang w:val="vi-VN" w:eastAsia="vi-VN"/>
              </w:rPr>
              <w:t>Điều 11. Hỗ trợ truy xuất nguồn gốc, cấp mã số vùng trồng và chứng nhận quản lý chất lượng sản phẩm</w:t>
            </w:r>
            <w:r w:rsidRPr="003826A5">
              <w:rPr>
                <w:rFonts w:ascii="Times New Roman" w:hAnsi="Times New Roman"/>
                <w:b/>
                <w:bCs/>
                <w:sz w:val="26"/>
                <w:szCs w:val="26"/>
                <w:lang w:eastAsia="vi-VN"/>
              </w:rPr>
              <w:t xml:space="preserve">, </w:t>
            </w:r>
            <w:r w:rsidRPr="003826A5">
              <w:rPr>
                <w:rFonts w:ascii="Times New Roman" w:hAnsi="Times New Roman"/>
                <w:b/>
                <w:bCs/>
                <w:color w:val="EE0000"/>
                <w:sz w:val="26"/>
                <w:szCs w:val="26"/>
                <w:lang w:eastAsia="vi-VN"/>
              </w:rPr>
              <w:t>kiểm soát giết mổ</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Cs/>
                <w:sz w:val="26"/>
                <w:szCs w:val="26"/>
                <w:lang w:val="vi-VN" w:eastAsia="vi-VN"/>
              </w:rPr>
            </w:pPr>
            <w:r w:rsidRPr="003826A5">
              <w:rPr>
                <w:rFonts w:ascii="Times New Roman" w:hAnsi="Times New Roman"/>
                <w:bCs/>
                <w:sz w:val="26"/>
                <w:szCs w:val="26"/>
                <w:lang w:val="vi-VN" w:eastAsia="vi-VN"/>
              </w:rPr>
              <w:t>1. Điều kiện hỗ trợ: Tổ chức, cá nhân được hỗ trợ xây dựng hệ thống truy xuất nguồn gốc, cấp mã số vùng trồng và chứng nhận chất lượng sản phẩm phải đáp ứng đồng thời các điều kiện sau:</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3826A5">
              <w:rPr>
                <w:rFonts w:ascii="Times New Roman" w:hAnsi="Times New Roman"/>
                <w:bCs/>
                <w:sz w:val="26"/>
                <w:szCs w:val="26"/>
                <w:lang w:val="vi-VN" w:eastAsia="vi-VN"/>
              </w:rPr>
              <w:t xml:space="preserve">a) </w:t>
            </w:r>
            <w:r w:rsidRPr="003826A5">
              <w:rPr>
                <w:rFonts w:ascii="Times New Roman" w:hAnsi="Times New Roman"/>
                <w:sz w:val="26"/>
                <w:szCs w:val="26"/>
                <w:lang w:val="vi-VN" w:eastAsia="vi-VN"/>
              </w:rPr>
              <w:t>Có Phương án thuyết minh đáp ứng tiêu chí để hình thành vùng nguyên liệu theo quy định tại Điều 4 của Nghị quyết này và được UBND cấp xã phê duyệt (trường hợp từ 02 xã trở lên do UBND tỉnh phê duyệt).</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rPr>
            </w:pPr>
            <w:r w:rsidRPr="003826A5">
              <w:rPr>
                <w:rFonts w:ascii="Times New Roman" w:hAnsi="Times New Roman"/>
                <w:bCs/>
                <w:sz w:val="26"/>
                <w:szCs w:val="26"/>
                <w:lang w:val="vi-VN" w:eastAsia="vi-VN"/>
              </w:rPr>
              <w:t xml:space="preserve">b) </w:t>
            </w:r>
            <w:r w:rsidRPr="003826A5">
              <w:rPr>
                <w:rFonts w:ascii="Times New Roman" w:hAnsi="Times New Roman"/>
                <w:sz w:val="26"/>
                <w:szCs w:val="26"/>
                <w:lang w:val="vi-VN"/>
              </w:rPr>
              <w:t xml:space="preserve">Có hợp đồng tư vấn, đánh giá, cấp giấy chứng nhận sản xuất sản phẩm đạt một trong các tiêu chuẩn: </w:t>
            </w:r>
            <w:r w:rsidRPr="003826A5">
              <w:rPr>
                <w:rFonts w:ascii="Times New Roman" w:hAnsi="Times New Roman"/>
                <w:sz w:val="26"/>
                <w:szCs w:val="26"/>
                <w:lang w:val="vi-VN" w:eastAsia="vi-VN"/>
              </w:rPr>
              <w:t>VietGAP, VietGAHP, GlobalGAP, GACP – WHO, hữu cơ; HACCP, hệ thống quản lý an toàn thực phẩm – ISO 22000</w:t>
            </w:r>
            <w:r w:rsidRPr="003826A5">
              <w:rPr>
                <w:rFonts w:ascii="Times New Roman" w:hAnsi="Times New Roman"/>
                <w:sz w:val="26"/>
                <w:szCs w:val="26"/>
                <w:lang w:val="vi-VN"/>
              </w:rPr>
              <w:t>; hóa đơn đơn vị cung ứng dịch vụ và các chứng từ hợp lệ khác chứng minh chi phí cấp giấy chứng nhận hoặc cấp mã số vùng trồng, hệ thống truy xuất nguồn gốc.</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3826A5">
              <w:rPr>
                <w:rFonts w:ascii="Times New Roman" w:hAnsi="Times New Roman"/>
                <w:sz w:val="26"/>
                <w:szCs w:val="26"/>
                <w:lang w:val="vi-VN"/>
              </w:rPr>
              <w:t xml:space="preserve">c) Có giấy chứng nhận được cấp hoặc quyết định cấp mã số vùng trồng; hệ thống truy xuất nguồn gốc </w:t>
            </w:r>
            <w:r w:rsidRPr="003826A5">
              <w:rPr>
                <w:rFonts w:ascii="Times New Roman" w:hAnsi="Times New Roman"/>
                <w:sz w:val="26"/>
                <w:szCs w:val="26"/>
                <w:lang w:val="vi-VN"/>
              </w:rPr>
              <w:lastRenderedPageBreak/>
              <w:t>được nghiệm thu.</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3826A5">
              <w:rPr>
                <w:rFonts w:ascii="Times New Roman" w:hAnsi="Times New Roman"/>
                <w:bCs/>
                <w:sz w:val="26"/>
                <w:szCs w:val="26"/>
                <w:lang w:val="vi-VN" w:eastAsia="vi-VN"/>
              </w:rPr>
              <w:t>2. Nội dung và mức hỗ trợ:</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3826A5">
              <w:rPr>
                <w:rFonts w:ascii="Times New Roman" w:hAnsi="Times New Roman"/>
                <w:sz w:val="26"/>
                <w:szCs w:val="26"/>
                <w:lang w:val="vi-VN" w:eastAsia="vi-VN"/>
              </w:rPr>
              <w:t xml:space="preserve">a) </w:t>
            </w:r>
            <w:r w:rsidRPr="003826A5">
              <w:rPr>
                <w:rFonts w:ascii="Times New Roman" w:eastAsia="Times New Roman" w:hAnsi="Times New Roman"/>
                <w:sz w:val="26"/>
                <w:szCs w:val="26"/>
                <w:lang w:val="vi-VN"/>
              </w:rPr>
              <w:t xml:space="preserve">Hỗ trợ một lần 100% chi phí thiết lập hệ thống truy xuất nguồn gốc tại cơ sở để tham gia Hệ thống truy xuất nguồn gốc điện tử đạt chuẩn theo quy định của Luật Chất lượng sản phẩm, hàng hóa và các văn bản hướng dẫn, thi hành Luật Chất lượng sản phẩm, hàng hóa và thiết kế mới hoặc nâng cấp mẫu bao bì, in tem nhãn điện tử chứa thông tin truy xuất nguồn gốc, mức hỗ trợ không quá 20 triệu đồng/tổ chức, cá nhân. </w:t>
            </w:r>
            <w:r w:rsidRPr="003826A5">
              <w:rPr>
                <w:rFonts w:ascii="Times New Roman" w:hAnsi="Times New Roman"/>
                <w:sz w:val="26"/>
                <w:szCs w:val="26"/>
              </w:rPr>
              <w:t>Giai đoạn 2026-2030</w:t>
            </w:r>
            <w:r w:rsidRPr="003826A5">
              <w:rPr>
                <w:rFonts w:ascii="Times New Roman" w:hAnsi="Times New Roman"/>
                <w:sz w:val="26"/>
                <w:szCs w:val="26"/>
                <w:lang w:val="vi-VN"/>
              </w:rPr>
              <w:t xml:space="preserve">, </w:t>
            </w:r>
            <w:r w:rsidRPr="003826A5">
              <w:rPr>
                <w:rFonts w:ascii="Times New Roman" w:hAnsi="Times New Roman"/>
                <w:sz w:val="26"/>
                <w:szCs w:val="26"/>
              </w:rPr>
              <w:t xml:space="preserve">ngân sách </w:t>
            </w:r>
            <w:r w:rsidRPr="003826A5">
              <w:rPr>
                <w:rFonts w:ascii="Times New Roman" w:hAnsi="Times New Roman"/>
                <w:sz w:val="26"/>
                <w:szCs w:val="26"/>
                <w:lang w:val="vi-VN"/>
              </w:rPr>
              <w:t xml:space="preserve">hỗ trợ </w:t>
            </w:r>
            <w:r w:rsidRPr="003826A5">
              <w:rPr>
                <w:rFonts w:ascii="Times New Roman" w:hAnsi="Times New Roman"/>
                <w:sz w:val="26"/>
                <w:szCs w:val="26"/>
              </w:rPr>
              <w:t>tối đa 25 tổ chức, cá nhân.</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color w:val="FF0000"/>
                <w:sz w:val="26"/>
                <w:szCs w:val="26"/>
              </w:rPr>
            </w:pPr>
            <w:r w:rsidRPr="003826A5">
              <w:rPr>
                <w:rFonts w:ascii="Times New Roman" w:hAnsi="Times New Roman"/>
                <w:sz w:val="26"/>
                <w:szCs w:val="26"/>
                <w:lang w:val="vi-VN" w:eastAsia="vi-VN"/>
              </w:rPr>
              <w:t>b) Hỗ trợ 100% chi phí chứng nhận lần đầu để tổ chức, cá nhân thực hiện tư vấn, đánh giá, chứng nhận hoạt động sản xuất nông nghiệp theo quy trình thực hành tốt như: VietGAP, VietGAHP, GlobalGAP, GACP – WHO, hữu cơ Việt Nam, hữu cơ quốc tế, Halal; Hoạt động giết mổ, sơ chế, chế biến, bảo quản sản phẩm nông lâm thủy sản theo hệ thống kiểm soát mối nguy và điểm kiểm soát tới hạn – HACCP, hệ thống quản lý an toàn thực phẩm – ISO 22000; tối đa 100 triệu đồng/giấy chứng nhận</w:t>
            </w:r>
            <w:r w:rsidRPr="003826A5">
              <w:rPr>
                <w:rFonts w:ascii="Times New Roman" w:hAnsi="Times New Roman"/>
                <w:sz w:val="26"/>
                <w:szCs w:val="26"/>
                <w:lang w:eastAsia="vi-VN"/>
              </w:rPr>
              <w:t>. Giai đoạn 2026 – 2030,</w:t>
            </w:r>
            <w:r w:rsidRPr="003826A5">
              <w:rPr>
                <w:rFonts w:ascii="Times New Roman" w:hAnsi="Times New Roman"/>
                <w:color w:val="FF0000"/>
                <w:sz w:val="26"/>
                <w:szCs w:val="26"/>
                <w:lang w:eastAsia="vi-VN"/>
              </w:rPr>
              <w:t xml:space="preserve"> ngân sách hỗ trợ tối đa 75 giấy chứng nhận.</w:t>
            </w:r>
          </w:p>
          <w:p w:rsidR="003826A5" w:rsidRPr="003826A5" w:rsidRDefault="003826A5" w:rsidP="003826A5">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3826A5">
              <w:rPr>
                <w:rFonts w:ascii="Times New Roman" w:hAnsi="Times New Roman"/>
                <w:sz w:val="26"/>
                <w:szCs w:val="26"/>
                <w:lang w:val="vi-VN" w:eastAsia="vi-VN"/>
              </w:rPr>
              <w:t xml:space="preserve">c) </w:t>
            </w:r>
            <w:r w:rsidRPr="003826A5">
              <w:rPr>
                <w:rFonts w:ascii="Times New Roman" w:eastAsia="Times New Roman" w:hAnsi="Times New Roman"/>
                <w:sz w:val="26"/>
                <w:szCs w:val="26"/>
                <w:lang w:val="vi-VN"/>
              </w:rPr>
              <w:t>Hỗ trợ chi phí tư vấn cho cấp mã số vùng trồng lần đầu để lập Hồ sơ cấp mã số theo quy định. Mức hỗ trợ 100% chi phí theo hợp đồng tư vấn nhưng tối đa không quá 15 triệu đồng/mã số</w:t>
            </w:r>
            <w:r w:rsidRPr="003826A5">
              <w:rPr>
                <w:rFonts w:ascii="Times New Roman" w:eastAsia="Times New Roman" w:hAnsi="Times New Roman"/>
                <w:sz w:val="26"/>
                <w:szCs w:val="26"/>
              </w:rPr>
              <w:t xml:space="preserve">. </w:t>
            </w:r>
            <w:r w:rsidRPr="003826A5">
              <w:rPr>
                <w:rFonts w:ascii="Times New Roman" w:hAnsi="Times New Roman"/>
                <w:sz w:val="26"/>
                <w:szCs w:val="26"/>
              </w:rPr>
              <w:t xml:space="preserve">Giai đoạn </w:t>
            </w:r>
            <w:r w:rsidRPr="003826A5">
              <w:rPr>
                <w:rFonts w:ascii="Times New Roman" w:hAnsi="Times New Roman"/>
                <w:sz w:val="26"/>
                <w:szCs w:val="26"/>
              </w:rPr>
              <w:lastRenderedPageBreak/>
              <w:t xml:space="preserve">2026-2030, ngân sách </w:t>
            </w:r>
            <w:r w:rsidRPr="003826A5">
              <w:rPr>
                <w:rFonts w:ascii="Times New Roman" w:hAnsi="Times New Roman"/>
                <w:sz w:val="26"/>
                <w:szCs w:val="26"/>
                <w:lang w:val="vi-VN"/>
              </w:rPr>
              <w:t xml:space="preserve">hỗ trợ </w:t>
            </w:r>
            <w:r w:rsidRPr="003826A5">
              <w:rPr>
                <w:rFonts w:ascii="Times New Roman" w:hAnsi="Times New Roman"/>
                <w:sz w:val="26"/>
                <w:szCs w:val="26"/>
              </w:rPr>
              <w:t>tối đa 60 mã vùng trồng.</w:t>
            </w:r>
          </w:p>
          <w:p w:rsidR="00D80A98" w:rsidRDefault="003826A5" w:rsidP="003826A5">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kern w:val="0"/>
                <w:sz w:val="26"/>
                <w:szCs w:val="26"/>
                <w:lang w:val="en-SG" w:eastAsia="en-SG"/>
              </w:rPr>
            </w:pPr>
            <w:r w:rsidRPr="003826A5">
              <w:rPr>
                <w:rFonts w:ascii="Times New Roman" w:hAnsi="Times New Roman"/>
                <w:sz w:val="26"/>
                <w:szCs w:val="26"/>
              </w:rPr>
              <w:t xml:space="preserve">d) Hỗ trợ </w:t>
            </w:r>
            <w:r w:rsidRPr="003826A5">
              <w:rPr>
                <w:rFonts w:ascii="Times New Roman" w:hAnsi="Times New Roman"/>
                <w:color w:val="EE0000"/>
                <w:sz w:val="26"/>
                <w:szCs w:val="26"/>
                <w:lang w:eastAsia="vi-VN"/>
              </w:rPr>
              <w:t>một lần 100% phí kiểm soát giết mổ thực tế phải nộp theo quy định trong 12 tháng đầu kể từ khi đi vào hoạt động (tối đa không quá 30 triệu đồng/cơ sở/tháng) cho chủ cơ sở giết mổ tập trung xây mới hoặc sửa chữa, nâng cấp đạt Quy chuẩn kỹ thuật quốc gia về Yêu cầu vệ sinh thú y đối với cơ sở giết mổ động vật tập trung. Giai đoạn 2026 – 2030, ngân sách hỗ trợ tối đa 10 cơ sở.</w:t>
            </w: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Chính sách hỗ trợ truy xuất nguồn gốc, cấp mã số vùng trồng và chứng nhận chất lượng nhằm nâng cao tính minh bạch, an toàn và khả năng cạnh tranh của sản phẩm nông nghiệp, đáp ứng yêu cầu thị trường trong nước và xuất khẩu. Việc gắn hỗ trợ với phương án phát triển vùng nguyên liệu giúp đảm bảo triển khai đồng bộ, có kiểm soát.</w:t>
            </w:r>
          </w:p>
          <w:p w:rsidR="00D80A98" w:rsidRDefault="002408E5">
            <w:pPr>
              <w:pStyle w:val="NormalWeb"/>
              <w:spacing w:before="120" w:beforeAutospacing="0" w:after="0" w:afterAutospacing="0"/>
              <w:ind w:firstLine="459"/>
              <w:jc w:val="both"/>
              <w:rPr>
                <w:sz w:val="26"/>
                <w:szCs w:val="26"/>
              </w:rPr>
            </w:pPr>
            <w:r>
              <w:rPr>
                <w:sz w:val="26"/>
                <w:szCs w:val="26"/>
              </w:rPr>
              <w:t>Nội dung hỗ trợ tập trung vào các khâu then chốt như xây dựng hệ thống truy xuất nguồn gốc, cấp mã số vùng trồng và chứng nhận tiêu chuẩn chất lượng. Mức hỗ trợ cao cho lần đầu nhằm khuyến khích các tổ chức, cá nhân tham gia; đồng thời giảm dần ở các lần tiếp theo để tăng tính chủ động, tránh phụ thuộc ngân sách.</w:t>
            </w:r>
          </w:p>
          <w:p w:rsidR="00D80A98" w:rsidRDefault="002408E5">
            <w:pPr>
              <w:pStyle w:val="NormalWeb"/>
              <w:spacing w:before="120" w:beforeAutospacing="0" w:after="0" w:afterAutospacing="0"/>
              <w:ind w:firstLine="459"/>
              <w:jc w:val="both"/>
              <w:rPr>
                <w:sz w:val="26"/>
                <w:szCs w:val="26"/>
              </w:rPr>
            </w:pPr>
            <w:r>
              <w:rPr>
                <w:sz w:val="26"/>
                <w:szCs w:val="26"/>
              </w:rPr>
              <w:t>Quy định về hồ sơ, hợp đồng, nghiệm thu và chứng nhận nhằm đảm bảo tính minh bạch, đúng quy định và hiệu quả sử dụng nguồn lực. Chính sách góp phần chuẩn hóa quy trình sản xuất, nâng cao giá trị sản phẩm, mở rộng thị trường tiêu thụ.</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Xúc tiến thương mại còn hạn chế</w:t>
            </w:r>
          </w:p>
        </w:tc>
        <w:tc>
          <w:tcPr>
            <w:tcW w:w="5891" w:type="dxa"/>
            <w:vAlign w:val="center"/>
          </w:tcPr>
          <w:p w:rsidR="00643F48" w:rsidRPr="00643F48" w:rsidRDefault="00643F48" w:rsidP="00643F4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b/>
                <w:sz w:val="26"/>
                <w:szCs w:val="26"/>
                <w:lang w:val="vi-VN" w:eastAsia="vi-VN"/>
              </w:rPr>
            </w:pPr>
            <w:r w:rsidRPr="00643F48">
              <w:rPr>
                <w:rFonts w:ascii="Times New Roman" w:eastAsia="Times New Roman" w:hAnsi="Times New Roman"/>
                <w:sz w:val="26"/>
                <w:szCs w:val="26"/>
                <w:lang w:val="vi-VN"/>
              </w:rPr>
              <w:t> </w:t>
            </w:r>
            <w:r w:rsidRPr="00643F48">
              <w:rPr>
                <w:rFonts w:ascii="Times New Roman" w:hAnsi="Times New Roman"/>
                <w:b/>
                <w:sz w:val="26"/>
                <w:szCs w:val="26"/>
                <w:lang w:val="vi-VN" w:eastAsia="vi-VN"/>
              </w:rPr>
              <w:t>Điều 12. Hỗ trợ m</w:t>
            </w:r>
            <w:r w:rsidRPr="00643F48">
              <w:rPr>
                <w:rFonts w:ascii="Times New Roman" w:hAnsi="Times New Roman"/>
                <w:b/>
                <w:bCs/>
                <w:sz w:val="26"/>
                <w:szCs w:val="26"/>
                <w:lang w:val="vi-VN" w:eastAsia="vi-VN"/>
              </w:rPr>
              <w:t>ở rộng thị trường</w:t>
            </w:r>
          </w:p>
          <w:p w:rsidR="00643F48" w:rsidRPr="00643F48" w:rsidRDefault="00643F48" w:rsidP="00643F4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643F48">
              <w:rPr>
                <w:rFonts w:ascii="Times New Roman" w:hAnsi="Times New Roman"/>
                <w:sz w:val="26"/>
                <w:szCs w:val="26"/>
                <w:lang w:val="vi-VN" w:eastAsia="vi-VN"/>
              </w:rPr>
              <w:t xml:space="preserve">1. Điều kiện hỗ trợ: Các tổ chức, cá nhân có hoạt động đầu tư sản xuất, sơ chế, chế biến và liên kết tiêu thụ sản phẩm nông sản ở vùng nguyên liệu tập trung theo quy định của Điều 4 của Nghị quyết này, trong đó ưu tiên các sản phẩm chủ lực như: cà phê, hồ tiêu, gạo hữu cơ, dược liệu, thuỷ sản... được tham gia xúc tiến thương mại ở thị trường </w:t>
            </w:r>
            <w:r w:rsidRPr="00643F48">
              <w:rPr>
                <w:rFonts w:ascii="Times New Roman" w:hAnsi="Times New Roman"/>
                <w:sz w:val="26"/>
                <w:szCs w:val="26"/>
                <w:lang w:eastAsia="vi-VN"/>
              </w:rPr>
              <w:t xml:space="preserve">trong và </w:t>
            </w:r>
            <w:r w:rsidRPr="00643F48">
              <w:rPr>
                <w:rFonts w:ascii="Times New Roman" w:hAnsi="Times New Roman"/>
                <w:sz w:val="26"/>
                <w:szCs w:val="26"/>
                <w:lang w:val="vi-VN" w:eastAsia="vi-VN"/>
              </w:rPr>
              <w:t xml:space="preserve">nước ngoài. </w:t>
            </w:r>
          </w:p>
          <w:p w:rsidR="00643F48" w:rsidRPr="00643F48" w:rsidRDefault="00643F48" w:rsidP="00643F4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643F48">
              <w:rPr>
                <w:rFonts w:ascii="Times New Roman" w:hAnsi="Times New Roman"/>
                <w:sz w:val="26"/>
                <w:szCs w:val="26"/>
                <w:lang w:val="vi-VN" w:eastAsia="vi-VN"/>
              </w:rPr>
              <w:t>2. Nội dung và mức hỗ trợ</w:t>
            </w:r>
          </w:p>
          <w:p w:rsidR="00643F48" w:rsidRPr="00643F48" w:rsidRDefault="00643F48" w:rsidP="00643F4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643F48">
              <w:rPr>
                <w:rFonts w:ascii="Times New Roman" w:hAnsi="Times New Roman"/>
                <w:sz w:val="26"/>
                <w:szCs w:val="26"/>
                <w:lang w:val="vi-VN"/>
              </w:rPr>
              <w:t>a) Hỗ trợ tham gia các sự kiện, hội thi, hội chợ, triển lãm, phiên chợ, đoàn giao thương, hội nghị kết nối cung cầu quảng bá, kết nối tiêu thụ nông sản trong tỉnh, trong nước và ngoài nước, mức hỗ trợ tối đa 200 triệu đồng/sự kiện</w:t>
            </w:r>
            <w:r w:rsidRPr="00643F48">
              <w:rPr>
                <w:rFonts w:ascii="Times New Roman" w:hAnsi="Times New Roman"/>
                <w:sz w:val="26"/>
                <w:szCs w:val="26"/>
              </w:rPr>
              <w:t xml:space="preserve">, hội thi, hội chợ, triển lãm, đoàn giao thương.Giai đoạn 2026-2030, ngân sách </w:t>
            </w:r>
            <w:r w:rsidRPr="00643F48">
              <w:rPr>
                <w:rFonts w:ascii="Times New Roman" w:hAnsi="Times New Roman"/>
                <w:sz w:val="26"/>
                <w:szCs w:val="26"/>
                <w:lang w:val="vi-VN"/>
              </w:rPr>
              <w:t xml:space="preserve">hỗ trợ </w:t>
            </w:r>
            <w:r w:rsidRPr="00643F48">
              <w:rPr>
                <w:rFonts w:ascii="Times New Roman" w:hAnsi="Times New Roman"/>
                <w:sz w:val="26"/>
                <w:szCs w:val="26"/>
              </w:rPr>
              <w:t>tối đa 10 sự kiện, hội thi, hội chợ, triển lãm, đoàn giao thương.</w:t>
            </w:r>
          </w:p>
          <w:p w:rsidR="00643F48" w:rsidRPr="00643F48" w:rsidRDefault="00643F48" w:rsidP="00643F4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rPr>
            </w:pPr>
            <w:r w:rsidRPr="00643F48">
              <w:rPr>
                <w:rFonts w:ascii="Times New Roman" w:hAnsi="Times New Roman"/>
                <w:sz w:val="26"/>
                <w:szCs w:val="26"/>
                <w:shd w:val="clear" w:color="auto" w:fill="FFFFFF"/>
                <w:lang w:val="vi-VN"/>
              </w:rPr>
              <w:lastRenderedPageBreak/>
              <w:t xml:space="preserve">b) Hỗ trợ xây dựng thương hiệu, tư vấn thiết kế mẫu mã, bao bì, nhãn hiệu hàng hóa; thiết kế nhận diện thương hiệu; xây dựng đăng ký bảo hộ, quản lý và phát triển nhãn hiệu, thương hiệu sản phẩm;mua và in ấn bao bì, nhãn mác, bộ nhận diện thương hiệu; mức hỗ trợ 100% chi phí, tối đa không quá </w:t>
            </w:r>
            <w:r w:rsidRPr="00643F48">
              <w:rPr>
                <w:rFonts w:ascii="Times New Roman" w:hAnsi="Times New Roman"/>
                <w:sz w:val="26"/>
                <w:szCs w:val="26"/>
                <w:shd w:val="clear" w:color="auto" w:fill="FFFFFF"/>
              </w:rPr>
              <w:t>1</w:t>
            </w:r>
            <w:r w:rsidRPr="00643F48">
              <w:rPr>
                <w:rFonts w:ascii="Times New Roman" w:hAnsi="Times New Roman"/>
                <w:sz w:val="26"/>
                <w:szCs w:val="26"/>
                <w:shd w:val="clear" w:color="auto" w:fill="FFFFFF"/>
                <w:lang w:val="vi-VN"/>
              </w:rPr>
              <w:t xml:space="preserve">00 triệu đồng/1 </w:t>
            </w:r>
            <w:r w:rsidRPr="00643F48">
              <w:rPr>
                <w:rFonts w:ascii="Times New Roman" w:hAnsi="Times New Roman"/>
                <w:sz w:val="26"/>
                <w:szCs w:val="26"/>
                <w:shd w:val="clear" w:color="auto" w:fill="FFFFFF"/>
              </w:rPr>
              <w:t>tổ chức, cá nhân.</w:t>
            </w:r>
            <w:r w:rsidRPr="00643F48">
              <w:rPr>
                <w:rFonts w:ascii="Times New Roman" w:hAnsi="Times New Roman"/>
                <w:sz w:val="26"/>
                <w:szCs w:val="26"/>
              </w:rPr>
              <w:t xml:space="preserve">Giai đoạn 2026-2030, ngân sách </w:t>
            </w:r>
            <w:r w:rsidRPr="00643F48">
              <w:rPr>
                <w:rFonts w:ascii="Times New Roman" w:hAnsi="Times New Roman"/>
                <w:sz w:val="26"/>
                <w:szCs w:val="26"/>
                <w:lang w:val="vi-VN"/>
              </w:rPr>
              <w:t xml:space="preserve">hỗ trợ </w:t>
            </w:r>
            <w:r w:rsidRPr="00643F48">
              <w:rPr>
                <w:rFonts w:ascii="Times New Roman" w:hAnsi="Times New Roman"/>
                <w:sz w:val="26"/>
                <w:szCs w:val="26"/>
              </w:rPr>
              <w:t>tối đa 10 tổ chức, cá nhân.</w:t>
            </w:r>
          </w:p>
          <w:p w:rsidR="00D80A98" w:rsidRPr="00AB38D5" w:rsidRDefault="00643F48" w:rsidP="00643F48">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kern w:val="0"/>
                <w:sz w:val="26"/>
                <w:szCs w:val="26"/>
                <w:lang w:val="en-SG" w:eastAsia="en-SG"/>
              </w:rPr>
            </w:pPr>
            <w:r w:rsidRPr="00643F48">
              <w:rPr>
                <w:rFonts w:ascii="Times New Roman" w:hAnsi="Times New Roman"/>
                <w:sz w:val="26"/>
                <w:szCs w:val="26"/>
                <w:lang w:val="vi-VN" w:eastAsia="vi-VN"/>
              </w:rPr>
              <w:t>c) Hỗ trợ cho xây dựng các điểm bán hàng</w:t>
            </w:r>
            <w:r w:rsidRPr="00643F48">
              <w:rPr>
                <w:rFonts w:ascii="Times New Roman" w:hAnsi="Times New Roman"/>
                <w:color w:val="FF0000"/>
                <w:sz w:val="26"/>
                <w:szCs w:val="26"/>
                <w:lang w:eastAsia="vi-VN"/>
              </w:rPr>
              <w:t>sản phẩm</w:t>
            </w:r>
            <w:r w:rsidRPr="00643F48">
              <w:rPr>
                <w:rFonts w:ascii="Times New Roman" w:hAnsi="Times New Roman"/>
                <w:color w:val="FF0000"/>
                <w:sz w:val="26"/>
                <w:szCs w:val="26"/>
                <w:lang w:val="vi-VN" w:eastAsia="vi-VN"/>
              </w:rPr>
              <w:t xml:space="preserve"> OCOP</w:t>
            </w:r>
            <w:r w:rsidRPr="00643F48">
              <w:rPr>
                <w:rFonts w:ascii="Times New Roman" w:hAnsi="Times New Roman"/>
                <w:color w:val="FF0000"/>
                <w:sz w:val="26"/>
                <w:szCs w:val="26"/>
                <w:lang w:eastAsia="vi-VN"/>
              </w:rPr>
              <w:t>, đặc sản địa phương</w:t>
            </w:r>
            <w:r w:rsidRPr="00643F48">
              <w:rPr>
                <w:rFonts w:ascii="Times New Roman" w:hAnsi="Times New Roman"/>
                <w:color w:val="FF0000"/>
                <w:sz w:val="26"/>
                <w:szCs w:val="26"/>
                <w:lang w:val="vi-VN" w:eastAsia="vi-VN"/>
              </w:rPr>
              <w:t xml:space="preserve">: </w:t>
            </w:r>
            <w:r w:rsidRPr="00643F48">
              <w:rPr>
                <w:rFonts w:ascii="Times New Roman" w:hAnsi="Times New Roman"/>
                <w:sz w:val="26"/>
                <w:szCs w:val="26"/>
                <w:lang w:val="vi-VN" w:eastAsia="vi-VN"/>
              </w:rPr>
              <w:t xml:space="preserve">Ngân sách nhà nước hỗ trợ cho các tổ chức, cá nhân 100% kinh phí để đầu tư mới tủ trưng bày, giới thiệu sản phẩm; Chi phí thiết kế, in ấn pa nô, tập gấp, đĩa CD và các hoạt động tuyên truyền, quảng bá. Mức hỗ trợ tối đa không quá 150 triệu đồng/1 địa điểm. </w:t>
            </w:r>
            <w:r w:rsidRPr="00643F48">
              <w:rPr>
                <w:rFonts w:ascii="Times New Roman" w:hAnsi="Times New Roman"/>
                <w:sz w:val="26"/>
                <w:szCs w:val="26"/>
              </w:rPr>
              <w:t xml:space="preserve">Giai đoạn 2026-2030, ngân sách </w:t>
            </w:r>
            <w:r w:rsidRPr="00643F48">
              <w:rPr>
                <w:rFonts w:ascii="Times New Roman" w:hAnsi="Times New Roman"/>
                <w:sz w:val="26"/>
                <w:szCs w:val="26"/>
                <w:lang w:val="vi-VN"/>
              </w:rPr>
              <w:t xml:space="preserve">hỗ trợ </w:t>
            </w:r>
            <w:r w:rsidRPr="00643F48">
              <w:rPr>
                <w:rFonts w:ascii="Times New Roman" w:hAnsi="Times New Roman"/>
                <w:sz w:val="26"/>
                <w:szCs w:val="26"/>
              </w:rPr>
              <w:t>tối đa 10 điểm bán hàng.</w:t>
            </w:r>
          </w:p>
        </w:tc>
        <w:tc>
          <w:tcPr>
            <w:tcW w:w="5529" w:type="dxa"/>
            <w:vAlign w:val="center"/>
          </w:tcPr>
          <w:p w:rsidR="00D80A98" w:rsidRPr="001549C6" w:rsidRDefault="001549C6" w:rsidP="001549C6">
            <w:pPr>
              <w:spacing w:before="120" w:after="0" w:line="240" w:lineRule="auto"/>
              <w:jc w:val="both"/>
              <w:rPr>
                <w:rFonts w:ascii="Times New Roman" w:eastAsia="Times New Roman" w:hAnsi="Times New Roman"/>
                <w:kern w:val="0"/>
                <w:sz w:val="26"/>
                <w:szCs w:val="26"/>
                <w:lang w:val="en-SG" w:eastAsia="en-SG"/>
              </w:rPr>
            </w:pPr>
            <w:r w:rsidRPr="001549C6">
              <w:rPr>
                <w:rFonts w:ascii="Times New Roman" w:hAnsi="Times New Roman"/>
                <w:sz w:val="26"/>
                <w:szCs w:val="26"/>
              </w:rPr>
              <w:lastRenderedPageBreak/>
              <w:t>Hỗ trợ xúc tiến thương mại, xây dựng thương hiệu, phát triển sản phẩm OCOP nhằm mở rộng thị trường tiêu thụ, nâng cao giá trị gia tăng và sức cạnh tranh của sản phẩm; tăng cường quảng bá, kết nối cung cầu, thúc đẩy tiêu thụ ổn định, góp phần phát triển sản xuất bền vững và nâng cao thu nhập cho người dân, hợp tác xã, doanh nghiệp.</w:t>
            </w:r>
            <w:r w:rsidR="002408E5" w:rsidRPr="001549C6">
              <w:rPr>
                <w:rFonts w:ascii="Times New Roman" w:eastAsia="Times New Roman" w:hAnsi="Times New Roman"/>
                <w:kern w:val="0"/>
                <w:sz w:val="26"/>
                <w:szCs w:val="26"/>
                <w:lang w:val="en-SG" w:eastAsia="en-SG"/>
              </w:rPr>
              <w:t>.</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Chưa có chính sách kết hợp nông nghiệp – du lịch</w:t>
            </w:r>
          </w:p>
        </w:tc>
        <w:tc>
          <w:tcPr>
            <w:tcW w:w="5891" w:type="dxa"/>
            <w:vAlign w:val="center"/>
          </w:tcPr>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b/>
                <w:sz w:val="26"/>
                <w:szCs w:val="26"/>
                <w:lang w:val="vi-VN" w:eastAsia="vi-VN"/>
              </w:rPr>
            </w:pPr>
            <w:r w:rsidRPr="00F967A6">
              <w:rPr>
                <w:rFonts w:ascii="Times New Roman" w:hAnsi="Times New Roman"/>
                <w:b/>
                <w:sz w:val="26"/>
                <w:szCs w:val="26"/>
                <w:lang w:val="vi-VN" w:eastAsia="vi-VN"/>
              </w:rPr>
              <w:t>Điều 13. Hỗ trợ xây dựng mô hình nông nghiệp kết hợp du lịch</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1. Điều kiện hỗ trợ: Tổ chức, cá nhân được hỗ trợ phát triển mô hình nông nghiệp kết hợp với du lịch phải đáp ứng đồng thời các tiêu chí sau:</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a) Mô hình sản xuất nông nghiệp kết hợp du lịch đúng với quy định của pháp luật về quy hoạch, xây dựng, quản lý đất đai và các quy định pháp luật liên quan; phù hợp với phát triển kinh tế - xã hội của địa phương;</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lastRenderedPageBreak/>
              <w:t>b) Quy mô tối thiểu 02ha/ mô hình.</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 xml:space="preserve">c) Đáp ứng tiêu chí mô hình sản xuất nông nghiệp kết hợp với du lịch: </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 Có đăng ký kinh doanh/đăng ký hoạt động của doanh nghiệp/hợp tác xã/liên hiệp HTX/tổ hợp tác/cá nhân. Không trong thời gian thi hành quyết định xử lý vi phạm hành chính do vi phạm các hành vi bị nghiêm cấm quy định tại các </w:t>
            </w:r>
            <w:bookmarkStart w:id="4" w:name="tvpllink_vschxswiyw_1"/>
            <w:r w:rsidR="005D5139" w:rsidRPr="00F967A6">
              <w:rPr>
                <w:rFonts w:ascii="Times New Roman" w:hAnsi="Times New Roman"/>
                <w:sz w:val="26"/>
                <w:szCs w:val="26"/>
                <w:lang w:eastAsia="vi-VN"/>
              </w:rPr>
              <w:fldChar w:fldCharType="begin"/>
            </w:r>
            <w:r w:rsidRPr="00F967A6">
              <w:rPr>
                <w:rFonts w:ascii="Times New Roman" w:hAnsi="Times New Roman"/>
                <w:sz w:val="26"/>
                <w:szCs w:val="26"/>
                <w:lang w:val="vi-VN" w:eastAsia="vi-VN"/>
              </w:rPr>
              <w:instrText xml:space="preserve"> HYPERLINK "https://thuvienphapluat.vn/van-ban/Doanh-nghiep/Luat-Doanh-nghiep-so-59-2020-QH14-427301.aspx" \t "_blank" </w:instrText>
            </w:r>
            <w:r w:rsidR="005D5139" w:rsidRPr="00F967A6">
              <w:rPr>
                <w:rFonts w:ascii="Times New Roman" w:hAnsi="Times New Roman"/>
                <w:sz w:val="26"/>
                <w:szCs w:val="26"/>
                <w:lang w:eastAsia="vi-VN"/>
              </w:rPr>
              <w:fldChar w:fldCharType="separate"/>
            </w:r>
            <w:r w:rsidRPr="00F967A6">
              <w:rPr>
                <w:rFonts w:ascii="Times New Roman" w:hAnsi="Times New Roman"/>
                <w:sz w:val="26"/>
                <w:szCs w:val="26"/>
                <w:lang w:val="vi-VN" w:eastAsia="vi-VN"/>
              </w:rPr>
              <w:t>Luật Doanh nghiệp</w:t>
            </w:r>
            <w:r w:rsidR="005D5139" w:rsidRPr="00F967A6">
              <w:rPr>
                <w:rFonts w:ascii="Times New Roman" w:hAnsi="Times New Roman"/>
                <w:sz w:val="26"/>
                <w:szCs w:val="26"/>
                <w:lang w:eastAsia="vi-VN"/>
              </w:rPr>
              <w:fldChar w:fldCharType="end"/>
            </w:r>
            <w:bookmarkEnd w:id="4"/>
            <w:r w:rsidRPr="00F967A6">
              <w:rPr>
                <w:rFonts w:ascii="Times New Roman" w:hAnsi="Times New Roman"/>
                <w:sz w:val="26"/>
                <w:szCs w:val="26"/>
                <w:lang w:val="vi-VN" w:eastAsia="vi-VN"/>
              </w:rPr>
              <w:t>, </w:t>
            </w:r>
            <w:bookmarkStart w:id="5" w:name="tvpllink_vkhttfmgzy_1"/>
            <w:r w:rsidR="005D5139" w:rsidRPr="00F967A6">
              <w:rPr>
                <w:rFonts w:ascii="Times New Roman" w:hAnsi="Times New Roman"/>
                <w:sz w:val="26"/>
                <w:szCs w:val="26"/>
                <w:lang w:eastAsia="vi-VN"/>
              </w:rPr>
              <w:fldChar w:fldCharType="begin"/>
            </w:r>
            <w:r w:rsidRPr="00F967A6">
              <w:rPr>
                <w:rFonts w:ascii="Times New Roman" w:hAnsi="Times New Roman"/>
                <w:sz w:val="26"/>
                <w:szCs w:val="26"/>
                <w:lang w:val="vi-VN" w:eastAsia="vi-VN"/>
              </w:rPr>
              <w:instrText xml:space="preserve"> HYPERLINK "https://thuvienphapluat.vn/van-ban/Doanh-nghiep/Luat-Hop-tac-xa-2023-17-2023-QH15-499239.aspx" \t "_blank" </w:instrText>
            </w:r>
            <w:r w:rsidR="005D5139" w:rsidRPr="00F967A6">
              <w:rPr>
                <w:rFonts w:ascii="Times New Roman" w:hAnsi="Times New Roman"/>
                <w:sz w:val="26"/>
                <w:szCs w:val="26"/>
                <w:lang w:eastAsia="vi-VN"/>
              </w:rPr>
              <w:fldChar w:fldCharType="separate"/>
            </w:r>
            <w:r w:rsidRPr="00F967A6">
              <w:rPr>
                <w:rFonts w:ascii="Times New Roman" w:hAnsi="Times New Roman"/>
                <w:sz w:val="26"/>
                <w:szCs w:val="26"/>
                <w:lang w:val="vi-VN" w:eastAsia="vi-VN"/>
              </w:rPr>
              <w:t>Luật Hợp tác xã</w:t>
            </w:r>
            <w:r w:rsidR="005D5139" w:rsidRPr="00F967A6">
              <w:rPr>
                <w:rFonts w:ascii="Times New Roman" w:hAnsi="Times New Roman"/>
                <w:sz w:val="26"/>
                <w:szCs w:val="26"/>
                <w:lang w:eastAsia="vi-VN"/>
              </w:rPr>
              <w:fldChar w:fldCharType="end"/>
            </w:r>
            <w:bookmarkEnd w:id="5"/>
            <w:r w:rsidRPr="00F967A6">
              <w:rPr>
                <w:rFonts w:ascii="Times New Roman" w:hAnsi="Times New Roman"/>
                <w:sz w:val="26"/>
                <w:szCs w:val="26"/>
                <w:lang w:val="vi-VN" w:eastAsia="vi-VN"/>
              </w:rPr>
              <w:t> và Luật sửa đổi có liên quan; không trong thời gian chấp hành bản án hình sự của Tòa án đã có hiệu lực pháp luật;</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 Giấy chứng nhận quyền sử dụng đất hoặc hợp đồng thuê đất thời hạn tối thiểu 05 năm.</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 Cam kết đảm bảo vệ sinh môi trường; có hồ sơ môi trường theo quy định của pháp luật về bảo vệ môi trường;</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 Có điểm bán hàng các sản phẩm đặc sản, sản phẩm OCOP của địa phương.</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val="vi-VN" w:eastAsia="vi-VN"/>
              </w:rPr>
            </w:pPr>
            <w:r w:rsidRPr="00F967A6">
              <w:rPr>
                <w:rFonts w:ascii="Times New Roman" w:hAnsi="Times New Roman"/>
                <w:sz w:val="26"/>
                <w:szCs w:val="26"/>
                <w:lang w:val="vi-VN" w:eastAsia="vi-VN"/>
              </w:rPr>
              <w:t xml:space="preserve"> 3. Nội dung và mức hỗ trợ: </w:t>
            </w:r>
          </w:p>
          <w:p w:rsidR="00B82A07"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hAnsi="Times New Roman"/>
                <w:sz w:val="26"/>
                <w:szCs w:val="26"/>
                <w:lang w:eastAsia="vi-VN"/>
              </w:rPr>
            </w:pPr>
            <w:r w:rsidRPr="00F967A6">
              <w:rPr>
                <w:rFonts w:ascii="Times New Roman" w:hAnsi="Times New Roman"/>
                <w:sz w:val="26"/>
                <w:szCs w:val="26"/>
                <w:lang w:eastAsia="vi-VN"/>
              </w:rPr>
              <w:t>a) H</w:t>
            </w:r>
            <w:r w:rsidRPr="00F967A6">
              <w:rPr>
                <w:rFonts w:ascii="Times New Roman" w:hAnsi="Times New Roman"/>
                <w:sz w:val="26"/>
                <w:szCs w:val="26"/>
                <w:lang w:val="vi-VN" w:eastAsia="vi-VN"/>
              </w:rPr>
              <w:t>ỗ trợ 100% chi phí (không quá 300 triệu đồng/mô hình) để thực hiện khảo sát, điều tra, tư vấn, xây dựng các phương án, thiết kế mô hình</w:t>
            </w:r>
            <w:r w:rsidRPr="00F967A6">
              <w:rPr>
                <w:rFonts w:ascii="Times New Roman" w:hAnsi="Times New Roman"/>
                <w:sz w:val="26"/>
                <w:szCs w:val="26"/>
                <w:lang w:eastAsia="vi-VN"/>
              </w:rPr>
              <w:t xml:space="preserve">. </w:t>
            </w:r>
            <w:r w:rsidRPr="00F967A6">
              <w:rPr>
                <w:rFonts w:ascii="Times New Roman" w:hAnsi="Times New Roman"/>
                <w:sz w:val="26"/>
                <w:szCs w:val="26"/>
              </w:rPr>
              <w:t xml:space="preserve">Giai đoạn 2026-2030, ngân sách </w:t>
            </w:r>
            <w:r w:rsidRPr="00F967A6">
              <w:rPr>
                <w:rFonts w:ascii="Times New Roman" w:hAnsi="Times New Roman"/>
                <w:sz w:val="26"/>
                <w:szCs w:val="26"/>
                <w:lang w:val="vi-VN"/>
              </w:rPr>
              <w:t xml:space="preserve">hỗ trợ </w:t>
            </w:r>
            <w:r w:rsidRPr="00F967A6">
              <w:rPr>
                <w:rFonts w:ascii="Times New Roman" w:hAnsi="Times New Roman"/>
                <w:sz w:val="26"/>
                <w:szCs w:val="26"/>
              </w:rPr>
              <w:t xml:space="preserve">tối đa </w:t>
            </w:r>
            <w:r w:rsidR="00F8496C">
              <w:rPr>
                <w:rFonts w:ascii="Times New Roman" w:hAnsi="Times New Roman"/>
                <w:sz w:val="26"/>
                <w:szCs w:val="26"/>
              </w:rPr>
              <w:t>15</w:t>
            </w:r>
            <w:r w:rsidRPr="00F967A6">
              <w:rPr>
                <w:rFonts w:ascii="Times New Roman" w:hAnsi="Times New Roman"/>
                <w:sz w:val="26"/>
                <w:szCs w:val="26"/>
              </w:rPr>
              <w:t xml:space="preserve"> mô hình</w:t>
            </w:r>
          </w:p>
          <w:p w:rsidR="00D80A98" w:rsidRPr="00F967A6" w:rsidRDefault="00B82A07" w:rsidP="00B82A07">
            <w:pPr>
              <w:widowControl w:val="0"/>
              <w:pBdr>
                <w:top w:val="dotted" w:sz="4" w:space="0" w:color="FFFFFF"/>
                <w:left w:val="dotted" w:sz="4" w:space="0" w:color="FFFFFF"/>
                <w:bottom w:val="dotted" w:sz="4" w:space="21" w:color="FFFFFF"/>
                <w:right w:val="dotted" w:sz="4" w:space="0" w:color="FFFFFF"/>
              </w:pBdr>
              <w:spacing w:before="120" w:after="120" w:line="240" w:lineRule="auto"/>
              <w:ind w:firstLine="567"/>
              <w:contextualSpacing/>
              <w:jc w:val="both"/>
              <w:rPr>
                <w:rFonts w:ascii="Times New Roman" w:eastAsia="Times New Roman" w:hAnsi="Times New Roman"/>
                <w:kern w:val="0"/>
                <w:sz w:val="26"/>
                <w:szCs w:val="26"/>
                <w:lang w:val="en-SG" w:eastAsia="en-SG"/>
              </w:rPr>
            </w:pPr>
            <w:r w:rsidRPr="00F967A6">
              <w:rPr>
                <w:rFonts w:ascii="Times New Roman" w:hAnsi="Times New Roman"/>
                <w:sz w:val="26"/>
                <w:szCs w:val="26"/>
                <w:lang w:eastAsia="vi-VN"/>
              </w:rPr>
              <w:t xml:space="preserve">b) Hỗ trợ </w:t>
            </w:r>
            <w:r w:rsidRPr="00F967A6">
              <w:rPr>
                <w:rFonts w:ascii="Times New Roman" w:hAnsi="Times New Roman"/>
                <w:sz w:val="26"/>
                <w:szCs w:val="26"/>
                <w:lang w:val="vi-VN" w:eastAsia="vi-VN"/>
              </w:rPr>
              <w:t xml:space="preserve">100% chi phí (tối đa 200 triệu đồng/mô hình) để thực hiện tuyên truyền, quảng bá hình ảnh về mô hình sản xuất nông nghiệp sinh thái kết hợp du lịch. </w:t>
            </w:r>
            <w:r w:rsidRPr="00F967A6">
              <w:rPr>
                <w:rFonts w:ascii="Times New Roman" w:hAnsi="Times New Roman"/>
                <w:sz w:val="26"/>
                <w:szCs w:val="26"/>
              </w:rPr>
              <w:t xml:space="preserve">Giai đoạn 2026-2030, ngân sách </w:t>
            </w:r>
            <w:r w:rsidRPr="00F967A6">
              <w:rPr>
                <w:rFonts w:ascii="Times New Roman" w:hAnsi="Times New Roman"/>
                <w:sz w:val="26"/>
                <w:szCs w:val="26"/>
                <w:lang w:val="vi-VN"/>
              </w:rPr>
              <w:t xml:space="preserve">hỗ </w:t>
            </w:r>
            <w:r w:rsidRPr="00F967A6">
              <w:rPr>
                <w:rFonts w:ascii="Times New Roman" w:hAnsi="Times New Roman"/>
                <w:sz w:val="26"/>
                <w:szCs w:val="26"/>
                <w:lang w:val="vi-VN"/>
              </w:rPr>
              <w:lastRenderedPageBreak/>
              <w:t xml:space="preserve">trợ </w:t>
            </w:r>
            <w:r w:rsidRPr="00F967A6">
              <w:rPr>
                <w:rFonts w:ascii="Times New Roman" w:hAnsi="Times New Roman"/>
                <w:sz w:val="26"/>
                <w:szCs w:val="26"/>
              </w:rPr>
              <w:t xml:space="preserve">tối đa </w:t>
            </w:r>
            <w:r w:rsidR="00F8496C">
              <w:rPr>
                <w:rFonts w:ascii="Times New Roman" w:hAnsi="Times New Roman"/>
                <w:sz w:val="26"/>
                <w:szCs w:val="26"/>
              </w:rPr>
              <w:t>15</w:t>
            </w:r>
            <w:bookmarkStart w:id="6" w:name="_GoBack"/>
            <w:bookmarkEnd w:id="6"/>
            <w:r w:rsidRPr="00F967A6">
              <w:rPr>
                <w:rFonts w:ascii="Times New Roman" w:hAnsi="Times New Roman"/>
                <w:sz w:val="26"/>
                <w:szCs w:val="26"/>
              </w:rPr>
              <w:t xml:space="preserve"> mô hình.</w:t>
            </w: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Chính sách nhằm thúc đẩy phát triển mô hình nông nghiệp kết hợp du lịch, khai thác hiệu quả tài nguyên nông nghiệp và văn hoá địa phương, tạo thêm nguồn thu và việc làm cho khu vực nông thôn. Việc quy định điều kiện về quy mô, pháp lý, môi trường và đăng ký hoạt động giúp đảm bảo mô hình được triển khai bài bản, đúng quy định và phát triển bền vững.</w:t>
            </w:r>
          </w:p>
          <w:p w:rsidR="00D80A98" w:rsidRDefault="002408E5">
            <w:pPr>
              <w:pStyle w:val="NormalWeb"/>
              <w:spacing w:before="120" w:beforeAutospacing="0" w:after="0" w:afterAutospacing="0"/>
              <w:ind w:firstLine="459"/>
              <w:jc w:val="both"/>
              <w:rPr>
                <w:sz w:val="26"/>
                <w:szCs w:val="26"/>
              </w:rPr>
            </w:pPr>
            <w:r>
              <w:rPr>
                <w:sz w:val="26"/>
                <w:szCs w:val="26"/>
              </w:rPr>
              <w:t xml:space="preserve">Nội dung hỗ trợ tập trung vào giai đoạn xây </w:t>
            </w:r>
            <w:r>
              <w:rPr>
                <w:sz w:val="26"/>
                <w:szCs w:val="26"/>
              </w:rPr>
              <w:lastRenderedPageBreak/>
              <w:t>dựng mô hình và quảng bá, giúp các chủ thể giảm chi phí ban đầu, nâng cao khả năng tiếp cận thị trường và thu hút khách du lịch. Mức hỗ trợ có giới hạn nhằm đảm bảo hiệu quả ngân sách, đồng thời khuyến khích xã hội hoá đầu tư.</w:t>
            </w:r>
          </w:p>
          <w:p w:rsidR="00D80A98" w:rsidRDefault="002408E5">
            <w:pPr>
              <w:pStyle w:val="NormalWeb"/>
              <w:spacing w:before="120" w:beforeAutospacing="0" w:after="0" w:afterAutospacing="0"/>
              <w:ind w:firstLine="459"/>
              <w:jc w:val="both"/>
              <w:rPr>
                <w:sz w:val="26"/>
                <w:szCs w:val="26"/>
              </w:rPr>
            </w:pPr>
            <w:r>
              <w:rPr>
                <w:sz w:val="26"/>
                <w:szCs w:val="26"/>
              </w:rPr>
              <w:t>Chính sách góp phần đa dạng hoá hoạt động sản xuất nông nghiệp, gắn với dịch vụ, nâng cao giá trị sản phẩm, thúc đẩy phát triển kinh tế nông thôn theo hướng xanh, bền vững</w:t>
            </w:r>
          </w:p>
          <w:p w:rsidR="00D80A98" w:rsidRDefault="00D80A98">
            <w:pPr>
              <w:spacing w:before="120" w:after="0" w:line="240" w:lineRule="auto"/>
              <w:ind w:firstLine="459"/>
              <w:rPr>
                <w:rFonts w:ascii="Times New Roman" w:eastAsia="Times New Roman" w:hAnsi="Times New Roman"/>
                <w:kern w:val="0"/>
                <w:sz w:val="26"/>
                <w:szCs w:val="26"/>
                <w:lang w:val="en-SG" w:eastAsia="en-SG"/>
              </w:rPr>
            </w:pPr>
          </w:p>
        </w:tc>
      </w:tr>
      <w:tr w:rsidR="00D80A98">
        <w:trPr>
          <w:trHeight w:val="3232"/>
        </w:trPr>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lastRenderedPageBreak/>
              <w:t>Quy định chung về thu hồi kinh phí</w:t>
            </w:r>
          </w:p>
        </w:tc>
        <w:tc>
          <w:tcPr>
            <w:tcW w:w="5891" w:type="dxa"/>
            <w:vAlign w:val="center"/>
          </w:tcPr>
          <w:p w:rsidR="00F967A6" w:rsidRPr="00F967A6" w:rsidRDefault="00F967A6" w:rsidP="00F967A6">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b/>
                <w:bCs/>
                <w:sz w:val="26"/>
                <w:szCs w:val="26"/>
                <w:lang w:val="vi-VN" w:eastAsia="en-SG"/>
              </w:rPr>
            </w:pPr>
            <w:r w:rsidRPr="00F967A6">
              <w:rPr>
                <w:rFonts w:ascii="Times New Roman" w:eastAsia="Times New Roman" w:hAnsi="Times New Roman"/>
                <w:b/>
                <w:bCs/>
                <w:sz w:val="26"/>
                <w:szCs w:val="26"/>
                <w:lang w:val="vi-VN" w:eastAsia="en-SG"/>
              </w:rPr>
              <w:t>Điều 14. Quy định về việc dừng hỗ trợ, thu hồi kinh phí hỗ trợ của tổ chức, cá nhân</w:t>
            </w:r>
          </w:p>
          <w:p w:rsidR="00F967A6" w:rsidRPr="00F967A6" w:rsidRDefault="00F967A6" w:rsidP="00F967A6">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bCs/>
                <w:sz w:val="26"/>
                <w:szCs w:val="26"/>
                <w:lang w:val="vi-VN" w:eastAsia="en-SG"/>
              </w:rPr>
            </w:pPr>
            <w:r w:rsidRPr="00F967A6">
              <w:rPr>
                <w:rFonts w:ascii="Times New Roman" w:eastAsia="Times New Roman" w:hAnsi="Times New Roman"/>
                <w:bCs/>
                <w:sz w:val="26"/>
                <w:szCs w:val="26"/>
                <w:lang w:eastAsia="en-SG"/>
              </w:rPr>
              <w:t>1</w:t>
            </w:r>
            <w:r w:rsidRPr="00F967A6">
              <w:rPr>
                <w:rFonts w:ascii="Times New Roman" w:eastAsia="Times New Roman" w:hAnsi="Times New Roman"/>
                <w:bCs/>
                <w:sz w:val="26"/>
                <w:szCs w:val="26"/>
                <w:lang w:val="vi-VN" w:eastAsia="en-SG"/>
              </w:rPr>
              <w:t>. Chấm dứt hỗ trợ, hủy kết quả hỗ trợ đã phê duyệt, yêu cầu hoàn trả kinh phí đã hỗ trợ đối với tổ chức, cá nhân giả mạo hồ sơ đề nghị nhận hỗ trợ hoặc sử dụng kinh phí sai nội dung hỗ trợ hoặc lập khống chứng từ, hóa đơn để hợp thức hóa chi phí đầu tư.</w:t>
            </w:r>
          </w:p>
          <w:p w:rsidR="00F967A6" w:rsidRPr="00F967A6" w:rsidRDefault="00F967A6" w:rsidP="00F967A6">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bCs/>
                <w:sz w:val="26"/>
                <w:szCs w:val="26"/>
                <w:lang w:val="vi-VN" w:eastAsia="en-SG"/>
              </w:rPr>
            </w:pPr>
            <w:r w:rsidRPr="00F967A6">
              <w:rPr>
                <w:rFonts w:ascii="Times New Roman" w:eastAsia="Times New Roman" w:hAnsi="Times New Roman"/>
                <w:bCs/>
                <w:sz w:val="26"/>
                <w:szCs w:val="26"/>
                <w:lang w:eastAsia="en-SG"/>
              </w:rPr>
              <w:t>2</w:t>
            </w:r>
            <w:r w:rsidRPr="00F967A6">
              <w:rPr>
                <w:rFonts w:ascii="Times New Roman" w:eastAsia="Times New Roman" w:hAnsi="Times New Roman"/>
                <w:bCs/>
                <w:sz w:val="26"/>
                <w:szCs w:val="26"/>
                <w:lang w:val="vi-VN" w:eastAsia="en-SG"/>
              </w:rPr>
              <w:t xml:space="preserve">. Các tổ chức, cá nhân không được tiếp tục tham gia các chương trình, chính sách hỗ trợ của tỉnh trong thời hạn </w:t>
            </w:r>
            <w:r w:rsidRPr="00F967A6">
              <w:rPr>
                <w:rFonts w:ascii="Times New Roman" w:eastAsia="Times New Roman" w:hAnsi="Times New Roman"/>
                <w:bCs/>
                <w:sz w:val="26"/>
                <w:szCs w:val="26"/>
                <w:lang w:eastAsia="en-SG"/>
              </w:rPr>
              <w:t>05</w:t>
            </w:r>
            <w:r w:rsidRPr="00F967A6">
              <w:rPr>
                <w:rFonts w:ascii="Times New Roman" w:eastAsia="Times New Roman" w:hAnsi="Times New Roman"/>
                <w:bCs/>
                <w:sz w:val="26"/>
                <w:szCs w:val="26"/>
                <w:lang w:val="vi-VN" w:eastAsia="en-SG"/>
              </w:rPr>
              <w:t xml:space="preserve"> năm kể từ thời điểm bị dừng hỗ trợ, thu hồi kinh phí theo quy định tại khoản 1 Điều này.</w:t>
            </w:r>
          </w:p>
          <w:p w:rsidR="00F967A6" w:rsidRPr="00F967A6" w:rsidRDefault="00F967A6" w:rsidP="00F967A6">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bCs/>
                <w:sz w:val="26"/>
                <w:szCs w:val="26"/>
                <w:lang w:val="vi-VN" w:eastAsia="en-SG"/>
              </w:rPr>
            </w:pPr>
            <w:r w:rsidRPr="00F967A6">
              <w:rPr>
                <w:rFonts w:ascii="Times New Roman" w:eastAsia="Times New Roman" w:hAnsi="Times New Roman"/>
                <w:bCs/>
                <w:sz w:val="26"/>
                <w:szCs w:val="26"/>
                <w:lang w:eastAsia="en-SG"/>
              </w:rPr>
              <w:t>3</w:t>
            </w:r>
            <w:r w:rsidRPr="00F967A6">
              <w:rPr>
                <w:rFonts w:ascii="Times New Roman" w:eastAsia="Times New Roman" w:hAnsi="Times New Roman"/>
                <w:bCs/>
                <w:sz w:val="26"/>
                <w:szCs w:val="26"/>
                <w:lang w:val="vi-VN" w:eastAsia="en-SG"/>
              </w:rPr>
              <w:t>. Cơ quan quyết định hỗ trợ có trách nhiệm thực hiện việc dừng hỗ trợ hoặc thu hồi kinh phí hỗ trợ của tổ chức, cá nhân theo quy định tại khoản 1Điều này.</w:t>
            </w:r>
          </w:p>
          <w:p w:rsidR="00D80A98" w:rsidRPr="00F967A6" w:rsidRDefault="00D80A98">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kern w:val="0"/>
                <w:sz w:val="26"/>
                <w:szCs w:val="26"/>
                <w:lang w:val="en-SG" w:eastAsia="en-SG"/>
              </w:rPr>
            </w:pP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t>Quy định này nhằm tăng cường kỷ luật, kỷ cương trong quản lý và sử dụng kinh phí hỗ trợ từ ngân sách nhà nước, đảm bảo đúng mục tiêu, đúng đối tượng và hiệu quả. Việc quy định thu hồi một phần hoặc toàn bộ kinh phí đối với trường hợp chậm tiến độ hoặc không thực hiện đúng cam kết giúp nâng cao trách nhiệm của tổ chức, cá nhân trong quá trình triển khai.</w:t>
            </w:r>
          </w:p>
          <w:p w:rsidR="00D80A98" w:rsidRDefault="002408E5">
            <w:pPr>
              <w:pStyle w:val="NormalWeb"/>
              <w:spacing w:before="120" w:beforeAutospacing="0" w:after="0" w:afterAutospacing="0"/>
              <w:ind w:firstLine="459"/>
              <w:jc w:val="both"/>
              <w:rPr>
                <w:sz w:val="26"/>
                <w:szCs w:val="26"/>
              </w:rPr>
            </w:pPr>
            <w:r>
              <w:rPr>
                <w:sz w:val="26"/>
                <w:szCs w:val="26"/>
              </w:rPr>
              <w:t>Đồng thời, các biện pháp xử lý nghiêm như chấm dứt hỗ trợ, thu hồi kinh phí và cấm tham gia chính sách trong thời hạn nhất định đối với hành vi gian lận, sử dụng sai mục đích nhằm phòng ngừa, răn đe và ngăn chặn trục lợi chính sách.</w:t>
            </w:r>
          </w:p>
          <w:p w:rsidR="00D80A98" w:rsidRDefault="002408E5">
            <w:pPr>
              <w:pStyle w:val="NormalWeb"/>
              <w:spacing w:before="120" w:beforeAutospacing="0" w:after="0" w:afterAutospacing="0"/>
              <w:ind w:firstLine="459"/>
              <w:jc w:val="both"/>
              <w:rPr>
                <w:sz w:val="26"/>
                <w:szCs w:val="26"/>
              </w:rPr>
            </w:pPr>
            <w:r>
              <w:rPr>
                <w:sz w:val="26"/>
                <w:szCs w:val="26"/>
              </w:rPr>
              <w:t>Quy định cũng làm rõ trách nhiệm của cơ quan nhà nước trong việc kiểm tra, giám sát và xử lý vi phạm, góp phần nâng cao hiệu lực, hiệu quả thực thi chính sách và đảm bảo công bằng, minh bạch trong hỗ trợ phát triển nông nghiệp.</w:t>
            </w:r>
          </w:p>
        </w:tc>
      </w:tr>
      <w:tr w:rsidR="00D80A98">
        <w:tc>
          <w:tcPr>
            <w:tcW w:w="2898" w:type="dxa"/>
            <w:vAlign w:val="center"/>
          </w:tcPr>
          <w:p w:rsidR="00D80A98" w:rsidRDefault="002408E5">
            <w:pPr>
              <w:spacing w:before="120" w:after="0" w:line="240" w:lineRule="auto"/>
              <w:rPr>
                <w:rFonts w:ascii="Times New Roman" w:eastAsia="Times New Roman" w:hAnsi="Times New Roman"/>
                <w:kern w:val="0"/>
                <w:sz w:val="26"/>
                <w:szCs w:val="26"/>
                <w:lang w:val="en-SG" w:eastAsia="en-SG"/>
              </w:rPr>
            </w:pPr>
            <w:r>
              <w:rPr>
                <w:rFonts w:ascii="Times New Roman" w:eastAsia="Times New Roman" w:hAnsi="Times New Roman"/>
                <w:kern w:val="0"/>
                <w:sz w:val="26"/>
                <w:szCs w:val="26"/>
                <w:lang w:val="en-SG" w:eastAsia="en-SG"/>
              </w:rPr>
              <w:t>Quy định chung về ngân sách</w:t>
            </w:r>
          </w:p>
        </w:tc>
        <w:tc>
          <w:tcPr>
            <w:tcW w:w="5891" w:type="dxa"/>
            <w:vAlign w:val="center"/>
          </w:tcPr>
          <w:p w:rsidR="00C92B1C" w:rsidRPr="00C92B1C" w:rsidRDefault="00C92B1C" w:rsidP="00C92B1C">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eastAsia="Times New Roman" w:hAnsi="Times New Roman"/>
                <w:b/>
                <w:bCs/>
                <w:sz w:val="26"/>
                <w:szCs w:val="26"/>
                <w:lang w:val="vi-VN" w:eastAsia="en-SG"/>
              </w:rPr>
            </w:pPr>
            <w:r w:rsidRPr="00C92B1C">
              <w:rPr>
                <w:rFonts w:ascii="Times New Roman" w:eastAsia="Times New Roman" w:hAnsi="Times New Roman"/>
                <w:b/>
                <w:bCs/>
                <w:sz w:val="26"/>
                <w:szCs w:val="26"/>
                <w:lang w:val="vi-VN" w:eastAsia="en-SG"/>
              </w:rPr>
              <w:t>Điều 15. Kinh phí, nguồn vốn thực hiện</w:t>
            </w:r>
          </w:p>
          <w:p w:rsidR="00C92B1C" w:rsidRPr="00C92B1C" w:rsidRDefault="00C92B1C" w:rsidP="00C92B1C">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sz w:val="26"/>
                <w:szCs w:val="26"/>
                <w:lang w:val="vi-VN"/>
              </w:rPr>
            </w:pPr>
            <w:bookmarkStart w:id="7" w:name="dieu_5"/>
            <w:r w:rsidRPr="00C92B1C">
              <w:rPr>
                <w:rFonts w:ascii="Times New Roman" w:hAnsi="Times New Roman"/>
                <w:sz w:val="26"/>
                <w:szCs w:val="26"/>
                <w:lang w:val="vi-VN"/>
              </w:rPr>
              <w:t xml:space="preserve">1. </w:t>
            </w:r>
            <w:r w:rsidRPr="00C92B1C">
              <w:rPr>
                <w:rFonts w:ascii="Times New Roman" w:hAnsi="Times New Roman"/>
                <w:sz w:val="26"/>
                <w:szCs w:val="26"/>
              </w:rPr>
              <w:t>H</w:t>
            </w:r>
            <w:r w:rsidRPr="00C92B1C">
              <w:rPr>
                <w:rFonts w:ascii="Times New Roman" w:hAnsi="Times New Roman"/>
                <w:sz w:val="26"/>
                <w:szCs w:val="26"/>
                <w:lang w:val="vi-VN"/>
              </w:rPr>
              <w:t xml:space="preserve">ằng năm ngân sách tỉnh cân đối bố trí tối </w:t>
            </w:r>
            <w:r w:rsidRPr="00C92B1C">
              <w:rPr>
                <w:rFonts w:ascii="Times New Roman" w:hAnsi="Times New Roman"/>
                <w:sz w:val="26"/>
                <w:szCs w:val="26"/>
              </w:rPr>
              <w:t xml:space="preserve">đa100 </w:t>
            </w:r>
            <w:r w:rsidRPr="00C92B1C">
              <w:rPr>
                <w:rFonts w:ascii="Times New Roman" w:hAnsi="Times New Roman"/>
                <w:sz w:val="26"/>
                <w:szCs w:val="26"/>
                <w:lang w:val="vi-VN"/>
              </w:rPr>
              <w:t>tỷ đồng để thực hiện chính sách theo quy định này.</w:t>
            </w:r>
          </w:p>
          <w:p w:rsidR="00C92B1C" w:rsidRDefault="00C92B1C" w:rsidP="00C92B1C">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sz w:val="28"/>
                <w:szCs w:val="28"/>
              </w:rPr>
            </w:pPr>
            <w:r w:rsidRPr="00C92B1C">
              <w:rPr>
                <w:rFonts w:ascii="Times New Roman" w:hAnsi="Times New Roman"/>
                <w:sz w:val="26"/>
                <w:szCs w:val="26"/>
                <w:lang w:val="vi-VN"/>
              </w:rPr>
              <w:t xml:space="preserve">2. Huy động, lồng ghép nguồn vốn từ Chương </w:t>
            </w:r>
            <w:r w:rsidRPr="00C92B1C">
              <w:rPr>
                <w:rFonts w:ascii="Times New Roman" w:hAnsi="Times New Roman"/>
                <w:sz w:val="26"/>
                <w:szCs w:val="26"/>
                <w:lang w:val="vi-VN"/>
              </w:rPr>
              <w:lastRenderedPageBreak/>
              <w:t>trình mục tiêu Quốc gia; các chương trình, dự án đầu tư trong và ngoài nước; nguồn đóng góp của các tổ chức, cá nhân./</w:t>
            </w:r>
            <w:bookmarkEnd w:id="7"/>
          </w:p>
          <w:p w:rsidR="00D80A98" w:rsidRDefault="00D80A98">
            <w:pPr>
              <w:spacing w:before="120" w:after="0" w:line="240" w:lineRule="auto"/>
              <w:rPr>
                <w:rFonts w:ascii="Times New Roman" w:eastAsia="Times New Roman" w:hAnsi="Times New Roman"/>
                <w:kern w:val="0"/>
                <w:sz w:val="26"/>
                <w:szCs w:val="26"/>
                <w:lang w:val="en-SG" w:eastAsia="en-SG"/>
              </w:rPr>
            </w:pPr>
          </w:p>
        </w:tc>
        <w:tc>
          <w:tcPr>
            <w:tcW w:w="5529" w:type="dxa"/>
            <w:vAlign w:val="center"/>
          </w:tcPr>
          <w:p w:rsidR="00D80A98" w:rsidRDefault="002408E5">
            <w:pPr>
              <w:pStyle w:val="NormalWeb"/>
              <w:spacing w:before="120" w:beforeAutospacing="0" w:after="0" w:afterAutospacing="0"/>
              <w:ind w:firstLine="459"/>
              <w:jc w:val="both"/>
              <w:rPr>
                <w:sz w:val="26"/>
                <w:szCs w:val="26"/>
              </w:rPr>
            </w:pPr>
            <w:r>
              <w:rPr>
                <w:sz w:val="26"/>
                <w:szCs w:val="26"/>
              </w:rPr>
              <w:lastRenderedPageBreak/>
              <w:t>Quy định này nhằm đảm bảo nguồn lực tài chính ổn định để triển khai chính sách, trong đó ngân sách tỉnh giữ vai trò chủ đạo, được bố trí hằng năm nhằm chủ động thực hiện các mục tiêu đề ra.</w:t>
            </w:r>
          </w:p>
          <w:p w:rsidR="00D80A98" w:rsidRDefault="002408E5">
            <w:pPr>
              <w:pStyle w:val="NormalWeb"/>
              <w:spacing w:before="120" w:beforeAutospacing="0" w:after="0" w:afterAutospacing="0"/>
              <w:ind w:firstLine="459"/>
              <w:jc w:val="both"/>
              <w:rPr>
                <w:sz w:val="26"/>
                <w:szCs w:val="26"/>
              </w:rPr>
            </w:pPr>
            <w:r>
              <w:rPr>
                <w:sz w:val="26"/>
                <w:szCs w:val="26"/>
              </w:rPr>
              <w:lastRenderedPageBreak/>
              <w:t>Đồng thời, việc huy động và lồng ghép các nguồn vốn hợp pháp khác như Chương trình mục tiêu quốc gia, các dự án trong và ngoài nước và nguồn xã hội hóa giúp đa dạng hóa nguồn lực, giảm áp lực cho ngân sách, nâng cao hiệu quả đầu tư.</w:t>
            </w:r>
          </w:p>
          <w:p w:rsidR="00D80A98" w:rsidRDefault="002408E5">
            <w:pPr>
              <w:pStyle w:val="NormalWeb"/>
              <w:spacing w:before="120" w:beforeAutospacing="0" w:after="0" w:afterAutospacing="0"/>
              <w:ind w:firstLine="459"/>
              <w:jc w:val="both"/>
              <w:rPr>
                <w:sz w:val="26"/>
                <w:szCs w:val="26"/>
              </w:rPr>
            </w:pPr>
            <w:r>
              <w:rPr>
                <w:sz w:val="26"/>
                <w:szCs w:val="26"/>
              </w:rPr>
              <w:t>Cách tiếp cận này góp phần đảm bảo tính bền vững về tài chính, tăng khả năng triển khai đồng bộ các chính sách tích tụ và phát triển nông nghiệp và vùng nguyên liệu</w:t>
            </w:r>
          </w:p>
          <w:p w:rsidR="00D80A98" w:rsidRDefault="00D80A98">
            <w:pPr>
              <w:spacing w:before="120" w:after="0" w:line="240" w:lineRule="auto"/>
              <w:ind w:firstLine="459"/>
              <w:jc w:val="both"/>
              <w:rPr>
                <w:rFonts w:ascii="Times New Roman" w:eastAsia="Times New Roman" w:hAnsi="Times New Roman"/>
                <w:kern w:val="0"/>
                <w:sz w:val="26"/>
                <w:szCs w:val="26"/>
                <w:lang w:val="en-SG" w:eastAsia="en-SG"/>
              </w:rPr>
            </w:pPr>
          </w:p>
        </w:tc>
      </w:tr>
    </w:tbl>
    <w:p w:rsidR="00D80A98" w:rsidRDefault="00D80A98">
      <w:pPr>
        <w:spacing w:after="60" w:line="288" w:lineRule="auto"/>
        <w:ind w:firstLine="720"/>
        <w:jc w:val="both"/>
        <w:rPr>
          <w:rFonts w:ascii="Times New Roman" w:hAnsi="Times New Roman"/>
          <w:sz w:val="28"/>
          <w:szCs w:val="28"/>
        </w:rPr>
      </w:pPr>
    </w:p>
    <w:p w:rsidR="00D80A98" w:rsidRDefault="00D80A98">
      <w:pPr>
        <w:rPr>
          <w:rFonts w:ascii="Times New Roman" w:hAnsi="Times New Roman"/>
        </w:rPr>
      </w:pPr>
    </w:p>
    <w:sectPr w:rsidR="00D80A98" w:rsidSect="00A1733A">
      <w:headerReference w:type="default" r:id="rId7"/>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4BB" w:rsidRDefault="004D44BB" w:rsidP="00237588">
      <w:pPr>
        <w:spacing w:after="0" w:line="240" w:lineRule="auto"/>
      </w:pPr>
      <w:r>
        <w:separator/>
      </w:r>
    </w:p>
  </w:endnote>
  <w:endnote w:type="continuationSeparator" w:id="1">
    <w:p w:rsidR="004D44BB" w:rsidRDefault="004D44BB" w:rsidP="00237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4BB" w:rsidRDefault="004D44BB" w:rsidP="00237588">
      <w:pPr>
        <w:spacing w:after="0" w:line="240" w:lineRule="auto"/>
      </w:pPr>
      <w:r>
        <w:separator/>
      </w:r>
    </w:p>
  </w:footnote>
  <w:footnote w:type="continuationSeparator" w:id="1">
    <w:p w:rsidR="004D44BB" w:rsidRDefault="004D44BB" w:rsidP="00237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043826"/>
      <w:docPartObj>
        <w:docPartGallery w:val="Page Numbers (Top of Page)"/>
        <w:docPartUnique/>
      </w:docPartObj>
    </w:sdtPr>
    <w:sdtEndPr>
      <w:rPr>
        <w:noProof/>
      </w:rPr>
    </w:sdtEndPr>
    <w:sdtContent>
      <w:p w:rsidR="00A1733A" w:rsidRDefault="005D5139">
        <w:pPr>
          <w:pStyle w:val="Header"/>
          <w:jc w:val="center"/>
        </w:pPr>
        <w:r>
          <w:fldChar w:fldCharType="begin"/>
        </w:r>
        <w:r w:rsidR="00A1733A">
          <w:instrText xml:space="preserve"> PAGE   \* MERGEFORMAT </w:instrText>
        </w:r>
        <w:r>
          <w:fldChar w:fldCharType="separate"/>
        </w:r>
        <w:r w:rsidR="00DA21A0">
          <w:rPr>
            <w:noProof/>
          </w:rPr>
          <w:t>19</w:t>
        </w:r>
        <w:r>
          <w:rPr>
            <w:noProof/>
          </w:rPr>
          <w:fldChar w:fldCharType="end"/>
        </w:r>
      </w:p>
    </w:sdtContent>
  </w:sdt>
  <w:p w:rsidR="00A1733A" w:rsidRDefault="00A173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438A9"/>
    <w:multiLevelType w:val="multilevel"/>
    <w:tmpl w:val="DD549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222CAB"/>
    <w:multiLevelType w:val="hybridMultilevel"/>
    <w:tmpl w:val="21C4DC0C"/>
    <w:lvl w:ilvl="0" w:tplc="CFA817B0">
      <w:start w:val="3"/>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0A98"/>
    <w:rsid w:val="000033B0"/>
    <w:rsid w:val="000F3BFB"/>
    <w:rsid w:val="001549C6"/>
    <w:rsid w:val="001D5148"/>
    <w:rsid w:val="00237588"/>
    <w:rsid w:val="002408E5"/>
    <w:rsid w:val="003826A5"/>
    <w:rsid w:val="003A199A"/>
    <w:rsid w:val="00457FAA"/>
    <w:rsid w:val="004D44BB"/>
    <w:rsid w:val="00575007"/>
    <w:rsid w:val="00597A3E"/>
    <w:rsid w:val="005D5139"/>
    <w:rsid w:val="00643D52"/>
    <w:rsid w:val="00643F48"/>
    <w:rsid w:val="006F7130"/>
    <w:rsid w:val="0083224B"/>
    <w:rsid w:val="008539A0"/>
    <w:rsid w:val="008F48AE"/>
    <w:rsid w:val="009671C9"/>
    <w:rsid w:val="00A1733A"/>
    <w:rsid w:val="00AA3071"/>
    <w:rsid w:val="00AB38D5"/>
    <w:rsid w:val="00AE2EF5"/>
    <w:rsid w:val="00AF43AF"/>
    <w:rsid w:val="00B373EC"/>
    <w:rsid w:val="00B82A07"/>
    <w:rsid w:val="00BF3F2E"/>
    <w:rsid w:val="00C70258"/>
    <w:rsid w:val="00C92B1C"/>
    <w:rsid w:val="00CD0F50"/>
    <w:rsid w:val="00D70CAA"/>
    <w:rsid w:val="00D80A98"/>
    <w:rsid w:val="00DA21A0"/>
    <w:rsid w:val="00DE34B8"/>
    <w:rsid w:val="00ED5BEC"/>
    <w:rsid w:val="00F46AFF"/>
    <w:rsid w:val="00F8496C"/>
    <w:rsid w:val="00F967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39"/>
    <w:pPr>
      <w:spacing w:after="160"/>
    </w:pPr>
    <w:rPr>
      <w:rFonts w:ascii="Calibri" w:eastAsia="Calibri" w:hAnsi="Calibri" w:cs="Times New Roman"/>
      <w:kern w:val="2"/>
      <w:sz w:val="24"/>
      <w:szCs w:val="24"/>
      <w:lang w:val="en-US"/>
    </w:rPr>
  </w:style>
  <w:style w:type="paragraph" w:styleId="Heading2">
    <w:name w:val="heading 2"/>
    <w:basedOn w:val="Normal"/>
    <w:link w:val="Heading2Char"/>
    <w:uiPriority w:val="9"/>
    <w:qFormat/>
    <w:rsid w:val="005D5139"/>
    <w:pPr>
      <w:spacing w:before="100" w:beforeAutospacing="1" w:after="100" w:afterAutospacing="1" w:line="240" w:lineRule="auto"/>
      <w:outlineLvl w:val="1"/>
    </w:pPr>
    <w:rPr>
      <w:rFonts w:ascii="Times New Roman" w:eastAsia="Times New Roman" w:hAnsi="Times New Roman"/>
      <w:b/>
      <w:bCs/>
      <w:kern w:val="0"/>
      <w:sz w:val="36"/>
      <w:szCs w:val="36"/>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5139"/>
    <w:rPr>
      <w:b/>
      <w:bCs/>
    </w:rPr>
  </w:style>
  <w:style w:type="character" w:customStyle="1" w:styleId="Heading2Char">
    <w:name w:val="Heading 2 Char"/>
    <w:basedOn w:val="DefaultParagraphFont"/>
    <w:link w:val="Heading2"/>
    <w:uiPriority w:val="9"/>
    <w:rsid w:val="005D5139"/>
    <w:rPr>
      <w:rFonts w:eastAsia="Times New Roman" w:cs="Times New Roman"/>
      <w:b/>
      <w:bCs/>
      <w:sz w:val="36"/>
      <w:szCs w:val="36"/>
      <w:lang w:eastAsia="en-SG"/>
    </w:rPr>
  </w:style>
  <w:style w:type="paragraph" w:styleId="NormalWeb">
    <w:name w:val="Normal (Web)"/>
    <w:basedOn w:val="Normal"/>
    <w:uiPriority w:val="99"/>
    <w:unhideWhenUsed/>
    <w:rsid w:val="005D5139"/>
    <w:pPr>
      <w:spacing w:before="100" w:beforeAutospacing="1" w:after="100" w:afterAutospacing="1" w:line="240" w:lineRule="auto"/>
    </w:pPr>
    <w:rPr>
      <w:rFonts w:ascii="Times New Roman" w:eastAsia="Times New Roman" w:hAnsi="Times New Roman"/>
      <w:kern w:val="0"/>
      <w:lang w:val="en-SG" w:eastAsia="en-SG"/>
    </w:rPr>
  </w:style>
  <w:style w:type="paragraph" w:styleId="ListParagraph">
    <w:name w:val="List Paragraph"/>
    <w:basedOn w:val="Normal"/>
    <w:uiPriority w:val="34"/>
    <w:qFormat/>
    <w:rsid w:val="005D5139"/>
    <w:pPr>
      <w:spacing w:after="200"/>
      <w:ind w:left="720"/>
      <w:contextualSpacing/>
    </w:pPr>
    <w:rPr>
      <w:rFonts w:ascii="Times New Roman" w:eastAsiaTheme="minorHAnsi" w:hAnsi="Times New Roman" w:cstheme="minorBidi"/>
      <w:kern w:val="0"/>
      <w:sz w:val="22"/>
      <w:szCs w:val="22"/>
      <w:lang w:val="en-SG"/>
    </w:rPr>
  </w:style>
  <w:style w:type="character" w:styleId="Emphasis">
    <w:name w:val="Emphasis"/>
    <w:basedOn w:val="DefaultParagraphFont"/>
    <w:uiPriority w:val="20"/>
    <w:qFormat/>
    <w:rsid w:val="005D5139"/>
    <w:rPr>
      <w:i/>
      <w:iCs/>
    </w:rPr>
  </w:style>
  <w:style w:type="character" w:styleId="Hyperlink">
    <w:name w:val="Hyperlink"/>
    <w:basedOn w:val="DefaultParagraphFont"/>
    <w:uiPriority w:val="99"/>
    <w:unhideWhenUsed/>
    <w:rsid w:val="00237588"/>
    <w:rPr>
      <w:color w:val="0000FF"/>
      <w:u w:val="single"/>
    </w:rPr>
  </w:style>
  <w:style w:type="paragraph" w:styleId="FootnoteText">
    <w:name w:val="footnote text"/>
    <w:basedOn w:val="Normal"/>
    <w:link w:val="FootnoteTextChar"/>
    <w:uiPriority w:val="99"/>
    <w:semiHidden/>
    <w:unhideWhenUsed/>
    <w:rsid w:val="00237588"/>
    <w:pPr>
      <w:spacing w:after="0" w:line="240" w:lineRule="auto"/>
    </w:pPr>
    <w:rPr>
      <w:rFonts w:ascii="Times New Roman" w:eastAsiaTheme="minorHAnsi" w:hAnsi="Times New Roman" w:cstheme="minorBidi"/>
      <w:kern w:val="0"/>
      <w:sz w:val="20"/>
      <w:szCs w:val="20"/>
      <w:lang w:val="en-SG"/>
    </w:rPr>
  </w:style>
  <w:style w:type="character" w:customStyle="1" w:styleId="FootnoteTextChar">
    <w:name w:val="Footnote Text Char"/>
    <w:basedOn w:val="DefaultParagraphFont"/>
    <w:link w:val="FootnoteText"/>
    <w:uiPriority w:val="99"/>
    <w:semiHidden/>
    <w:rsid w:val="00237588"/>
    <w:rPr>
      <w:sz w:val="20"/>
      <w:szCs w:val="20"/>
    </w:rPr>
  </w:style>
  <w:style w:type="character" w:styleId="FootnoteReference">
    <w:name w:val="footnote reference"/>
    <w:basedOn w:val="DefaultParagraphFont"/>
    <w:uiPriority w:val="99"/>
    <w:semiHidden/>
    <w:unhideWhenUsed/>
    <w:rsid w:val="00237588"/>
    <w:rPr>
      <w:vertAlign w:val="superscript"/>
    </w:rPr>
  </w:style>
  <w:style w:type="paragraph" w:styleId="Header">
    <w:name w:val="header"/>
    <w:basedOn w:val="Normal"/>
    <w:link w:val="HeaderChar"/>
    <w:uiPriority w:val="99"/>
    <w:unhideWhenUsed/>
    <w:rsid w:val="00A17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33A"/>
    <w:rPr>
      <w:rFonts w:ascii="Calibri" w:eastAsia="Calibri" w:hAnsi="Calibri" w:cs="Times New Roman"/>
      <w:kern w:val="2"/>
      <w:sz w:val="24"/>
      <w:szCs w:val="24"/>
      <w:lang w:val="en-US"/>
    </w:rPr>
  </w:style>
  <w:style w:type="paragraph" w:styleId="Footer">
    <w:name w:val="footer"/>
    <w:basedOn w:val="Normal"/>
    <w:link w:val="FooterChar"/>
    <w:uiPriority w:val="99"/>
    <w:unhideWhenUsed/>
    <w:rsid w:val="00A17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33A"/>
    <w:rPr>
      <w:rFonts w:ascii="Calibri" w:eastAsia="Calibri" w:hAnsi="Calibri" w:cs="Times New Roman"/>
      <w:kern w:val="2"/>
      <w:sz w:val="24"/>
      <w:szCs w:val="24"/>
      <w:lang w:val="en-US"/>
    </w:rPr>
  </w:style>
</w:styles>
</file>

<file path=word/webSettings.xml><?xml version="1.0" encoding="utf-8"?>
<w:webSettings xmlns:r="http://schemas.openxmlformats.org/officeDocument/2006/relationships" xmlns:w="http://schemas.openxmlformats.org/wordprocessingml/2006/main">
  <w:divs>
    <w:div w:id="253828653">
      <w:bodyDiv w:val="1"/>
      <w:marLeft w:val="0"/>
      <w:marRight w:val="0"/>
      <w:marTop w:val="0"/>
      <w:marBottom w:val="0"/>
      <w:divBdr>
        <w:top w:val="none" w:sz="0" w:space="0" w:color="auto"/>
        <w:left w:val="none" w:sz="0" w:space="0" w:color="auto"/>
        <w:bottom w:val="none" w:sz="0" w:space="0" w:color="auto"/>
        <w:right w:val="none" w:sz="0" w:space="0" w:color="auto"/>
      </w:divBdr>
    </w:div>
    <w:div w:id="264463832">
      <w:bodyDiv w:val="1"/>
      <w:marLeft w:val="0"/>
      <w:marRight w:val="0"/>
      <w:marTop w:val="0"/>
      <w:marBottom w:val="0"/>
      <w:divBdr>
        <w:top w:val="none" w:sz="0" w:space="0" w:color="auto"/>
        <w:left w:val="none" w:sz="0" w:space="0" w:color="auto"/>
        <w:bottom w:val="none" w:sz="0" w:space="0" w:color="auto"/>
        <w:right w:val="none" w:sz="0" w:space="0" w:color="auto"/>
      </w:divBdr>
    </w:div>
    <w:div w:id="849029127">
      <w:bodyDiv w:val="1"/>
      <w:marLeft w:val="0"/>
      <w:marRight w:val="0"/>
      <w:marTop w:val="0"/>
      <w:marBottom w:val="0"/>
      <w:divBdr>
        <w:top w:val="none" w:sz="0" w:space="0" w:color="auto"/>
        <w:left w:val="none" w:sz="0" w:space="0" w:color="auto"/>
        <w:bottom w:val="none" w:sz="0" w:space="0" w:color="auto"/>
        <w:right w:val="none" w:sz="0" w:space="0" w:color="auto"/>
      </w:divBdr>
    </w:div>
    <w:div w:id="883710144">
      <w:bodyDiv w:val="1"/>
      <w:marLeft w:val="0"/>
      <w:marRight w:val="0"/>
      <w:marTop w:val="0"/>
      <w:marBottom w:val="0"/>
      <w:divBdr>
        <w:top w:val="none" w:sz="0" w:space="0" w:color="auto"/>
        <w:left w:val="none" w:sz="0" w:space="0" w:color="auto"/>
        <w:bottom w:val="none" w:sz="0" w:space="0" w:color="auto"/>
        <w:right w:val="none" w:sz="0" w:space="0" w:color="auto"/>
      </w:divBdr>
      <w:divsChild>
        <w:div w:id="145900920">
          <w:marLeft w:val="0"/>
          <w:marRight w:val="0"/>
          <w:marTop w:val="0"/>
          <w:marBottom w:val="0"/>
          <w:divBdr>
            <w:top w:val="none" w:sz="0" w:space="0" w:color="auto"/>
            <w:left w:val="none" w:sz="0" w:space="0" w:color="auto"/>
            <w:bottom w:val="none" w:sz="0" w:space="0" w:color="auto"/>
            <w:right w:val="none" w:sz="0" w:space="0" w:color="auto"/>
          </w:divBdr>
          <w:divsChild>
            <w:div w:id="887378620">
              <w:marLeft w:val="0"/>
              <w:marRight w:val="0"/>
              <w:marTop w:val="0"/>
              <w:marBottom w:val="0"/>
              <w:divBdr>
                <w:top w:val="none" w:sz="0" w:space="0" w:color="auto"/>
                <w:left w:val="none" w:sz="0" w:space="0" w:color="auto"/>
                <w:bottom w:val="none" w:sz="0" w:space="0" w:color="auto"/>
                <w:right w:val="none" w:sz="0" w:space="0" w:color="auto"/>
              </w:divBdr>
              <w:divsChild>
                <w:div w:id="904528563">
                  <w:marLeft w:val="0"/>
                  <w:marRight w:val="0"/>
                  <w:marTop w:val="0"/>
                  <w:marBottom w:val="0"/>
                  <w:divBdr>
                    <w:top w:val="none" w:sz="0" w:space="0" w:color="auto"/>
                    <w:left w:val="none" w:sz="0" w:space="0" w:color="auto"/>
                    <w:bottom w:val="none" w:sz="0" w:space="0" w:color="auto"/>
                    <w:right w:val="none" w:sz="0" w:space="0" w:color="auto"/>
                  </w:divBdr>
                  <w:divsChild>
                    <w:div w:id="1757356863">
                      <w:marLeft w:val="0"/>
                      <w:marRight w:val="0"/>
                      <w:marTop w:val="0"/>
                      <w:marBottom w:val="0"/>
                      <w:divBdr>
                        <w:top w:val="none" w:sz="0" w:space="0" w:color="auto"/>
                        <w:left w:val="none" w:sz="0" w:space="0" w:color="auto"/>
                        <w:bottom w:val="none" w:sz="0" w:space="0" w:color="auto"/>
                        <w:right w:val="none" w:sz="0" w:space="0" w:color="auto"/>
                      </w:divBdr>
                      <w:divsChild>
                        <w:div w:id="1893693267">
                          <w:marLeft w:val="0"/>
                          <w:marRight w:val="0"/>
                          <w:marTop w:val="0"/>
                          <w:marBottom w:val="0"/>
                          <w:divBdr>
                            <w:top w:val="none" w:sz="0" w:space="0" w:color="auto"/>
                            <w:left w:val="none" w:sz="0" w:space="0" w:color="auto"/>
                            <w:bottom w:val="none" w:sz="0" w:space="0" w:color="auto"/>
                            <w:right w:val="none" w:sz="0" w:space="0" w:color="auto"/>
                          </w:divBdr>
                          <w:divsChild>
                            <w:div w:id="1848472423">
                              <w:marLeft w:val="0"/>
                              <w:marRight w:val="0"/>
                              <w:marTop w:val="0"/>
                              <w:marBottom w:val="0"/>
                              <w:divBdr>
                                <w:top w:val="none" w:sz="0" w:space="0" w:color="auto"/>
                                <w:left w:val="none" w:sz="0" w:space="0" w:color="auto"/>
                                <w:bottom w:val="none" w:sz="0" w:space="0" w:color="auto"/>
                                <w:right w:val="none" w:sz="0" w:space="0" w:color="auto"/>
                              </w:divBdr>
                              <w:divsChild>
                                <w:div w:id="2045012942">
                                  <w:marLeft w:val="0"/>
                                  <w:marRight w:val="0"/>
                                  <w:marTop w:val="0"/>
                                  <w:marBottom w:val="0"/>
                                  <w:divBdr>
                                    <w:top w:val="none" w:sz="0" w:space="0" w:color="auto"/>
                                    <w:left w:val="none" w:sz="0" w:space="0" w:color="auto"/>
                                    <w:bottom w:val="none" w:sz="0" w:space="0" w:color="auto"/>
                                    <w:right w:val="none" w:sz="0" w:space="0" w:color="auto"/>
                                  </w:divBdr>
                                  <w:divsChild>
                                    <w:div w:id="684943937">
                                      <w:marLeft w:val="0"/>
                                      <w:marRight w:val="0"/>
                                      <w:marTop w:val="0"/>
                                      <w:marBottom w:val="0"/>
                                      <w:divBdr>
                                        <w:top w:val="none" w:sz="0" w:space="0" w:color="auto"/>
                                        <w:left w:val="none" w:sz="0" w:space="0" w:color="auto"/>
                                        <w:bottom w:val="none" w:sz="0" w:space="0" w:color="auto"/>
                                        <w:right w:val="none" w:sz="0" w:space="0" w:color="auto"/>
                                      </w:divBdr>
                                      <w:divsChild>
                                        <w:div w:id="1435858099">
                                          <w:marLeft w:val="0"/>
                                          <w:marRight w:val="0"/>
                                          <w:marTop w:val="0"/>
                                          <w:marBottom w:val="0"/>
                                          <w:divBdr>
                                            <w:top w:val="none" w:sz="0" w:space="0" w:color="auto"/>
                                            <w:left w:val="none" w:sz="0" w:space="0" w:color="auto"/>
                                            <w:bottom w:val="none" w:sz="0" w:space="0" w:color="auto"/>
                                            <w:right w:val="none" w:sz="0" w:space="0" w:color="auto"/>
                                          </w:divBdr>
                                          <w:divsChild>
                                            <w:div w:id="2774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988565">
                  <w:marLeft w:val="0"/>
                  <w:marRight w:val="0"/>
                  <w:marTop w:val="0"/>
                  <w:marBottom w:val="0"/>
                  <w:divBdr>
                    <w:top w:val="none" w:sz="0" w:space="0" w:color="auto"/>
                    <w:left w:val="none" w:sz="0" w:space="0" w:color="auto"/>
                    <w:bottom w:val="none" w:sz="0" w:space="0" w:color="auto"/>
                    <w:right w:val="none" w:sz="0" w:space="0" w:color="auto"/>
                  </w:divBdr>
                  <w:divsChild>
                    <w:div w:id="851921738">
                      <w:marLeft w:val="0"/>
                      <w:marRight w:val="0"/>
                      <w:marTop w:val="0"/>
                      <w:marBottom w:val="0"/>
                      <w:divBdr>
                        <w:top w:val="none" w:sz="0" w:space="0" w:color="auto"/>
                        <w:left w:val="none" w:sz="0" w:space="0" w:color="auto"/>
                        <w:bottom w:val="none" w:sz="0" w:space="0" w:color="auto"/>
                        <w:right w:val="none" w:sz="0" w:space="0" w:color="auto"/>
                      </w:divBdr>
                      <w:divsChild>
                        <w:div w:id="80106039">
                          <w:marLeft w:val="0"/>
                          <w:marRight w:val="0"/>
                          <w:marTop w:val="0"/>
                          <w:marBottom w:val="0"/>
                          <w:divBdr>
                            <w:top w:val="none" w:sz="0" w:space="0" w:color="auto"/>
                            <w:left w:val="none" w:sz="0" w:space="0" w:color="auto"/>
                            <w:bottom w:val="none" w:sz="0" w:space="0" w:color="auto"/>
                            <w:right w:val="none" w:sz="0" w:space="0" w:color="auto"/>
                          </w:divBdr>
                          <w:divsChild>
                            <w:div w:id="533659765">
                              <w:marLeft w:val="0"/>
                              <w:marRight w:val="0"/>
                              <w:marTop w:val="0"/>
                              <w:marBottom w:val="0"/>
                              <w:divBdr>
                                <w:top w:val="none" w:sz="0" w:space="0" w:color="auto"/>
                                <w:left w:val="none" w:sz="0" w:space="0" w:color="auto"/>
                                <w:bottom w:val="none" w:sz="0" w:space="0" w:color="auto"/>
                                <w:right w:val="none" w:sz="0" w:space="0" w:color="auto"/>
                              </w:divBdr>
                              <w:divsChild>
                                <w:div w:id="931162807">
                                  <w:marLeft w:val="0"/>
                                  <w:marRight w:val="0"/>
                                  <w:marTop w:val="0"/>
                                  <w:marBottom w:val="0"/>
                                  <w:divBdr>
                                    <w:top w:val="none" w:sz="0" w:space="0" w:color="auto"/>
                                    <w:left w:val="none" w:sz="0" w:space="0" w:color="auto"/>
                                    <w:bottom w:val="none" w:sz="0" w:space="0" w:color="auto"/>
                                    <w:right w:val="none" w:sz="0" w:space="0" w:color="auto"/>
                                  </w:divBdr>
                                  <w:divsChild>
                                    <w:div w:id="995231809">
                                      <w:marLeft w:val="0"/>
                                      <w:marRight w:val="0"/>
                                      <w:marTop w:val="0"/>
                                      <w:marBottom w:val="0"/>
                                      <w:divBdr>
                                        <w:top w:val="none" w:sz="0" w:space="0" w:color="auto"/>
                                        <w:left w:val="none" w:sz="0" w:space="0" w:color="auto"/>
                                        <w:bottom w:val="none" w:sz="0" w:space="0" w:color="auto"/>
                                        <w:right w:val="none" w:sz="0" w:space="0" w:color="auto"/>
                                      </w:divBdr>
                                      <w:divsChild>
                                        <w:div w:id="5003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554011">
                  <w:marLeft w:val="0"/>
                  <w:marRight w:val="0"/>
                  <w:marTop w:val="0"/>
                  <w:marBottom w:val="0"/>
                  <w:divBdr>
                    <w:top w:val="none" w:sz="0" w:space="0" w:color="auto"/>
                    <w:left w:val="none" w:sz="0" w:space="0" w:color="auto"/>
                    <w:bottom w:val="none" w:sz="0" w:space="0" w:color="auto"/>
                    <w:right w:val="none" w:sz="0" w:space="0" w:color="auto"/>
                  </w:divBdr>
                  <w:divsChild>
                    <w:div w:id="169680845">
                      <w:marLeft w:val="0"/>
                      <w:marRight w:val="0"/>
                      <w:marTop w:val="0"/>
                      <w:marBottom w:val="0"/>
                      <w:divBdr>
                        <w:top w:val="none" w:sz="0" w:space="0" w:color="auto"/>
                        <w:left w:val="none" w:sz="0" w:space="0" w:color="auto"/>
                        <w:bottom w:val="none" w:sz="0" w:space="0" w:color="auto"/>
                        <w:right w:val="none" w:sz="0" w:space="0" w:color="auto"/>
                      </w:divBdr>
                      <w:divsChild>
                        <w:div w:id="1888563547">
                          <w:marLeft w:val="0"/>
                          <w:marRight w:val="0"/>
                          <w:marTop w:val="0"/>
                          <w:marBottom w:val="0"/>
                          <w:divBdr>
                            <w:top w:val="none" w:sz="0" w:space="0" w:color="auto"/>
                            <w:left w:val="none" w:sz="0" w:space="0" w:color="auto"/>
                            <w:bottom w:val="none" w:sz="0" w:space="0" w:color="auto"/>
                            <w:right w:val="none" w:sz="0" w:space="0" w:color="auto"/>
                          </w:divBdr>
                          <w:divsChild>
                            <w:div w:id="1940288446">
                              <w:marLeft w:val="0"/>
                              <w:marRight w:val="0"/>
                              <w:marTop w:val="0"/>
                              <w:marBottom w:val="0"/>
                              <w:divBdr>
                                <w:top w:val="none" w:sz="0" w:space="0" w:color="auto"/>
                                <w:left w:val="none" w:sz="0" w:space="0" w:color="auto"/>
                                <w:bottom w:val="none" w:sz="0" w:space="0" w:color="auto"/>
                                <w:right w:val="none" w:sz="0" w:space="0" w:color="auto"/>
                              </w:divBdr>
                              <w:divsChild>
                                <w:div w:id="1474710389">
                                  <w:marLeft w:val="0"/>
                                  <w:marRight w:val="0"/>
                                  <w:marTop w:val="0"/>
                                  <w:marBottom w:val="0"/>
                                  <w:divBdr>
                                    <w:top w:val="none" w:sz="0" w:space="0" w:color="auto"/>
                                    <w:left w:val="none" w:sz="0" w:space="0" w:color="auto"/>
                                    <w:bottom w:val="none" w:sz="0" w:space="0" w:color="auto"/>
                                    <w:right w:val="none" w:sz="0" w:space="0" w:color="auto"/>
                                  </w:divBdr>
                                  <w:divsChild>
                                    <w:div w:id="19033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36177">
          <w:marLeft w:val="0"/>
          <w:marRight w:val="0"/>
          <w:marTop w:val="0"/>
          <w:marBottom w:val="0"/>
          <w:divBdr>
            <w:top w:val="none" w:sz="0" w:space="0" w:color="auto"/>
            <w:left w:val="none" w:sz="0" w:space="0" w:color="auto"/>
            <w:bottom w:val="none" w:sz="0" w:space="0" w:color="auto"/>
            <w:right w:val="none" w:sz="0" w:space="0" w:color="auto"/>
          </w:divBdr>
          <w:divsChild>
            <w:div w:id="999622648">
              <w:marLeft w:val="0"/>
              <w:marRight w:val="0"/>
              <w:marTop w:val="0"/>
              <w:marBottom w:val="0"/>
              <w:divBdr>
                <w:top w:val="none" w:sz="0" w:space="0" w:color="auto"/>
                <w:left w:val="none" w:sz="0" w:space="0" w:color="auto"/>
                <w:bottom w:val="none" w:sz="0" w:space="0" w:color="auto"/>
                <w:right w:val="none" w:sz="0" w:space="0" w:color="auto"/>
              </w:divBdr>
              <w:divsChild>
                <w:div w:id="98838295">
                  <w:marLeft w:val="0"/>
                  <w:marRight w:val="0"/>
                  <w:marTop w:val="0"/>
                  <w:marBottom w:val="0"/>
                  <w:divBdr>
                    <w:top w:val="none" w:sz="0" w:space="0" w:color="auto"/>
                    <w:left w:val="none" w:sz="0" w:space="0" w:color="auto"/>
                    <w:bottom w:val="none" w:sz="0" w:space="0" w:color="auto"/>
                    <w:right w:val="none" w:sz="0" w:space="0" w:color="auto"/>
                  </w:divBdr>
                  <w:divsChild>
                    <w:div w:id="1476332618">
                      <w:marLeft w:val="0"/>
                      <w:marRight w:val="0"/>
                      <w:marTop w:val="0"/>
                      <w:marBottom w:val="0"/>
                      <w:divBdr>
                        <w:top w:val="none" w:sz="0" w:space="0" w:color="auto"/>
                        <w:left w:val="none" w:sz="0" w:space="0" w:color="auto"/>
                        <w:bottom w:val="none" w:sz="0" w:space="0" w:color="auto"/>
                        <w:right w:val="none" w:sz="0" w:space="0" w:color="auto"/>
                      </w:divBdr>
                      <w:divsChild>
                        <w:div w:id="1834906451">
                          <w:marLeft w:val="0"/>
                          <w:marRight w:val="0"/>
                          <w:marTop w:val="0"/>
                          <w:marBottom w:val="0"/>
                          <w:divBdr>
                            <w:top w:val="none" w:sz="0" w:space="0" w:color="auto"/>
                            <w:left w:val="none" w:sz="0" w:space="0" w:color="auto"/>
                            <w:bottom w:val="none" w:sz="0" w:space="0" w:color="auto"/>
                            <w:right w:val="none" w:sz="0" w:space="0" w:color="auto"/>
                          </w:divBdr>
                          <w:divsChild>
                            <w:div w:id="707485465">
                              <w:marLeft w:val="0"/>
                              <w:marRight w:val="0"/>
                              <w:marTop w:val="0"/>
                              <w:marBottom w:val="0"/>
                              <w:divBdr>
                                <w:top w:val="none" w:sz="0" w:space="0" w:color="auto"/>
                                <w:left w:val="none" w:sz="0" w:space="0" w:color="auto"/>
                                <w:bottom w:val="none" w:sz="0" w:space="0" w:color="auto"/>
                                <w:right w:val="none" w:sz="0" w:space="0" w:color="auto"/>
                              </w:divBdr>
                              <w:divsChild>
                                <w:div w:id="149638157">
                                  <w:marLeft w:val="0"/>
                                  <w:marRight w:val="0"/>
                                  <w:marTop w:val="0"/>
                                  <w:marBottom w:val="0"/>
                                  <w:divBdr>
                                    <w:top w:val="none" w:sz="0" w:space="0" w:color="auto"/>
                                    <w:left w:val="none" w:sz="0" w:space="0" w:color="auto"/>
                                    <w:bottom w:val="none" w:sz="0" w:space="0" w:color="auto"/>
                                    <w:right w:val="none" w:sz="0" w:space="0" w:color="auto"/>
                                  </w:divBdr>
                                  <w:divsChild>
                                    <w:div w:id="1100367824">
                                      <w:marLeft w:val="0"/>
                                      <w:marRight w:val="0"/>
                                      <w:marTop w:val="0"/>
                                      <w:marBottom w:val="0"/>
                                      <w:divBdr>
                                        <w:top w:val="none" w:sz="0" w:space="0" w:color="auto"/>
                                        <w:left w:val="none" w:sz="0" w:space="0" w:color="auto"/>
                                        <w:bottom w:val="none" w:sz="0" w:space="0" w:color="auto"/>
                                        <w:right w:val="none" w:sz="0" w:space="0" w:color="auto"/>
                                      </w:divBdr>
                                      <w:divsChild>
                                        <w:div w:id="377055061">
                                          <w:marLeft w:val="0"/>
                                          <w:marRight w:val="0"/>
                                          <w:marTop w:val="0"/>
                                          <w:marBottom w:val="0"/>
                                          <w:divBdr>
                                            <w:top w:val="none" w:sz="0" w:space="0" w:color="auto"/>
                                            <w:left w:val="none" w:sz="0" w:space="0" w:color="auto"/>
                                            <w:bottom w:val="none" w:sz="0" w:space="0" w:color="auto"/>
                                            <w:right w:val="none" w:sz="0" w:space="0" w:color="auto"/>
                                          </w:divBdr>
                                          <w:divsChild>
                                            <w:div w:id="1601718394">
                                              <w:marLeft w:val="0"/>
                                              <w:marRight w:val="0"/>
                                              <w:marTop w:val="0"/>
                                              <w:marBottom w:val="0"/>
                                              <w:divBdr>
                                                <w:top w:val="none" w:sz="0" w:space="0" w:color="auto"/>
                                                <w:left w:val="none" w:sz="0" w:space="0" w:color="auto"/>
                                                <w:bottom w:val="none" w:sz="0" w:space="0" w:color="auto"/>
                                                <w:right w:val="none" w:sz="0" w:space="0" w:color="auto"/>
                                              </w:divBdr>
                                              <w:divsChild>
                                                <w:div w:id="1901095889">
                                                  <w:marLeft w:val="0"/>
                                                  <w:marRight w:val="0"/>
                                                  <w:marTop w:val="0"/>
                                                  <w:marBottom w:val="0"/>
                                                  <w:divBdr>
                                                    <w:top w:val="none" w:sz="0" w:space="0" w:color="auto"/>
                                                    <w:left w:val="none" w:sz="0" w:space="0" w:color="auto"/>
                                                    <w:bottom w:val="none" w:sz="0" w:space="0" w:color="auto"/>
                                                    <w:right w:val="none" w:sz="0" w:space="0" w:color="auto"/>
                                                  </w:divBdr>
                                                  <w:divsChild>
                                                    <w:div w:id="7222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614183">
      <w:bodyDiv w:val="1"/>
      <w:marLeft w:val="0"/>
      <w:marRight w:val="0"/>
      <w:marTop w:val="0"/>
      <w:marBottom w:val="0"/>
      <w:divBdr>
        <w:top w:val="none" w:sz="0" w:space="0" w:color="auto"/>
        <w:left w:val="none" w:sz="0" w:space="0" w:color="auto"/>
        <w:bottom w:val="none" w:sz="0" w:space="0" w:color="auto"/>
        <w:right w:val="none" w:sz="0" w:space="0" w:color="auto"/>
      </w:divBdr>
    </w:div>
    <w:div w:id="939023999">
      <w:bodyDiv w:val="1"/>
      <w:marLeft w:val="0"/>
      <w:marRight w:val="0"/>
      <w:marTop w:val="0"/>
      <w:marBottom w:val="0"/>
      <w:divBdr>
        <w:top w:val="none" w:sz="0" w:space="0" w:color="auto"/>
        <w:left w:val="none" w:sz="0" w:space="0" w:color="auto"/>
        <w:bottom w:val="none" w:sz="0" w:space="0" w:color="auto"/>
        <w:right w:val="none" w:sz="0" w:space="0" w:color="auto"/>
      </w:divBdr>
      <w:divsChild>
        <w:div w:id="861433398">
          <w:marLeft w:val="0"/>
          <w:marRight w:val="0"/>
          <w:marTop w:val="0"/>
          <w:marBottom w:val="0"/>
          <w:divBdr>
            <w:top w:val="none" w:sz="0" w:space="0" w:color="auto"/>
            <w:left w:val="none" w:sz="0" w:space="0" w:color="auto"/>
            <w:bottom w:val="none" w:sz="0" w:space="0" w:color="auto"/>
            <w:right w:val="none" w:sz="0" w:space="0" w:color="auto"/>
          </w:divBdr>
          <w:divsChild>
            <w:div w:id="894052116">
              <w:marLeft w:val="0"/>
              <w:marRight w:val="0"/>
              <w:marTop w:val="0"/>
              <w:marBottom w:val="0"/>
              <w:divBdr>
                <w:top w:val="none" w:sz="0" w:space="0" w:color="auto"/>
                <w:left w:val="none" w:sz="0" w:space="0" w:color="auto"/>
                <w:bottom w:val="none" w:sz="0" w:space="0" w:color="auto"/>
                <w:right w:val="none" w:sz="0" w:space="0" w:color="auto"/>
              </w:divBdr>
              <w:divsChild>
                <w:div w:id="1862670449">
                  <w:marLeft w:val="0"/>
                  <w:marRight w:val="0"/>
                  <w:marTop w:val="0"/>
                  <w:marBottom w:val="0"/>
                  <w:divBdr>
                    <w:top w:val="none" w:sz="0" w:space="0" w:color="auto"/>
                    <w:left w:val="none" w:sz="0" w:space="0" w:color="auto"/>
                    <w:bottom w:val="none" w:sz="0" w:space="0" w:color="auto"/>
                    <w:right w:val="none" w:sz="0" w:space="0" w:color="auto"/>
                  </w:divBdr>
                  <w:divsChild>
                    <w:div w:id="1820489332">
                      <w:marLeft w:val="0"/>
                      <w:marRight w:val="0"/>
                      <w:marTop w:val="0"/>
                      <w:marBottom w:val="0"/>
                      <w:divBdr>
                        <w:top w:val="none" w:sz="0" w:space="0" w:color="auto"/>
                        <w:left w:val="none" w:sz="0" w:space="0" w:color="auto"/>
                        <w:bottom w:val="none" w:sz="0" w:space="0" w:color="auto"/>
                        <w:right w:val="none" w:sz="0" w:space="0" w:color="auto"/>
                      </w:divBdr>
                      <w:divsChild>
                        <w:div w:id="1339457414">
                          <w:marLeft w:val="0"/>
                          <w:marRight w:val="0"/>
                          <w:marTop w:val="0"/>
                          <w:marBottom w:val="0"/>
                          <w:divBdr>
                            <w:top w:val="none" w:sz="0" w:space="0" w:color="auto"/>
                            <w:left w:val="none" w:sz="0" w:space="0" w:color="auto"/>
                            <w:bottom w:val="none" w:sz="0" w:space="0" w:color="auto"/>
                            <w:right w:val="none" w:sz="0" w:space="0" w:color="auto"/>
                          </w:divBdr>
                          <w:divsChild>
                            <w:div w:id="15095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59167">
      <w:bodyDiv w:val="1"/>
      <w:marLeft w:val="0"/>
      <w:marRight w:val="0"/>
      <w:marTop w:val="0"/>
      <w:marBottom w:val="0"/>
      <w:divBdr>
        <w:top w:val="none" w:sz="0" w:space="0" w:color="auto"/>
        <w:left w:val="none" w:sz="0" w:space="0" w:color="auto"/>
        <w:bottom w:val="none" w:sz="0" w:space="0" w:color="auto"/>
        <w:right w:val="none" w:sz="0" w:space="0" w:color="auto"/>
      </w:divBdr>
    </w:div>
    <w:div w:id="1118790444">
      <w:bodyDiv w:val="1"/>
      <w:marLeft w:val="0"/>
      <w:marRight w:val="0"/>
      <w:marTop w:val="0"/>
      <w:marBottom w:val="0"/>
      <w:divBdr>
        <w:top w:val="none" w:sz="0" w:space="0" w:color="auto"/>
        <w:left w:val="none" w:sz="0" w:space="0" w:color="auto"/>
        <w:bottom w:val="none" w:sz="0" w:space="0" w:color="auto"/>
        <w:right w:val="none" w:sz="0" w:space="0" w:color="auto"/>
      </w:divBdr>
    </w:div>
    <w:div w:id="1169826088">
      <w:bodyDiv w:val="1"/>
      <w:marLeft w:val="0"/>
      <w:marRight w:val="0"/>
      <w:marTop w:val="0"/>
      <w:marBottom w:val="0"/>
      <w:divBdr>
        <w:top w:val="none" w:sz="0" w:space="0" w:color="auto"/>
        <w:left w:val="none" w:sz="0" w:space="0" w:color="auto"/>
        <w:bottom w:val="none" w:sz="0" w:space="0" w:color="auto"/>
        <w:right w:val="none" w:sz="0" w:space="0" w:color="auto"/>
      </w:divBdr>
    </w:div>
    <w:div w:id="1180777054">
      <w:bodyDiv w:val="1"/>
      <w:marLeft w:val="0"/>
      <w:marRight w:val="0"/>
      <w:marTop w:val="0"/>
      <w:marBottom w:val="0"/>
      <w:divBdr>
        <w:top w:val="none" w:sz="0" w:space="0" w:color="auto"/>
        <w:left w:val="none" w:sz="0" w:space="0" w:color="auto"/>
        <w:bottom w:val="none" w:sz="0" w:space="0" w:color="auto"/>
        <w:right w:val="none" w:sz="0" w:space="0" w:color="auto"/>
      </w:divBdr>
    </w:div>
    <w:div w:id="1403136526">
      <w:bodyDiv w:val="1"/>
      <w:marLeft w:val="0"/>
      <w:marRight w:val="0"/>
      <w:marTop w:val="0"/>
      <w:marBottom w:val="0"/>
      <w:divBdr>
        <w:top w:val="none" w:sz="0" w:space="0" w:color="auto"/>
        <w:left w:val="none" w:sz="0" w:space="0" w:color="auto"/>
        <w:bottom w:val="none" w:sz="0" w:space="0" w:color="auto"/>
        <w:right w:val="none" w:sz="0" w:space="0" w:color="auto"/>
      </w:divBdr>
      <w:divsChild>
        <w:div w:id="258678363">
          <w:marLeft w:val="0"/>
          <w:marRight w:val="0"/>
          <w:marTop w:val="0"/>
          <w:marBottom w:val="0"/>
          <w:divBdr>
            <w:top w:val="none" w:sz="0" w:space="0" w:color="auto"/>
            <w:left w:val="none" w:sz="0" w:space="0" w:color="auto"/>
            <w:bottom w:val="none" w:sz="0" w:space="0" w:color="auto"/>
            <w:right w:val="none" w:sz="0" w:space="0" w:color="auto"/>
          </w:divBdr>
          <w:divsChild>
            <w:div w:id="1354307886">
              <w:marLeft w:val="0"/>
              <w:marRight w:val="0"/>
              <w:marTop w:val="0"/>
              <w:marBottom w:val="0"/>
              <w:divBdr>
                <w:top w:val="none" w:sz="0" w:space="0" w:color="auto"/>
                <w:left w:val="none" w:sz="0" w:space="0" w:color="auto"/>
                <w:bottom w:val="none" w:sz="0" w:space="0" w:color="auto"/>
                <w:right w:val="none" w:sz="0" w:space="0" w:color="auto"/>
              </w:divBdr>
              <w:divsChild>
                <w:div w:id="1452940935">
                  <w:marLeft w:val="0"/>
                  <w:marRight w:val="0"/>
                  <w:marTop w:val="0"/>
                  <w:marBottom w:val="0"/>
                  <w:divBdr>
                    <w:top w:val="none" w:sz="0" w:space="0" w:color="auto"/>
                    <w:left w:val="none" w:sz="0" w:space="0" w:color="auto"/>
                    <w:bottom w:val="none" w:sz="0" w:space="0" w:color="auto"/>
                    <w:right w:val="none" w:sz="0" w:space="0" w:color="auto"/>
                  </w:divBdr>
                  <w:divsChild>
                    <w:div w:id="1726103972">
                      <w:marLeft w:val="0"/>
                      <w:marRight w:val="0"/>
                      <w:marTop w:val="0"/>
                      <w:marBottom w:val="0"/>
                      <w:divBdr>
                        <w:top w:val="none" w:sz="0" w:space="0" w:color="auto"/>
                        <w:left w:val="none" w:sz="0" w:space="0" w:color="auto"/>
                        <w:bottom w:val="none" w:sz="0" w:space="0" w:color="auto"/>
                        <w:right w:val="none" w:sz="0" w:space="0" w:color="auto"/>
                      </w:divBdr>
                      <w:divsChild>
                        <w:div w:id="841046819">
                          <w:marLeft w:val="0"/>
                          <w:marRight w:val="0"/>
                          <w:marTop w:val="0"/>
                          <w:marBottom w:val="0"/>
                          <w:divBdr>
                            <w:top w:val="none" w:sz="0" w:space="0" w:color="auto"/>
                            <w:left w:val="none" w:sz="0" w:space="0" w:color="auto"/>
                            <w:bottom w:val="none" w:sz="0" w:space="0" w:color="auto"/>
                            <w:right w:val="none" w:sz="0" w:space="0" w:color="auto"/>
                          </w:divBdr>
                          <w:divsChild>
                            <w:div w:id="522403285">
                              <w:marLeft w:val="0"/>
                              <w:marRight w:val="0"/>
                              <w:marTop w:val="0"/>
                              <w:marBottom w:val="0"/>
                              <w:divBdr>
                                <w:top w:val="none" w:sz="0" w:space="0" w:color="auto"/>
                                <w:left w:val="none" w:sz="0" w:space="0" w:color="auto"/>
                                <w:bottom w:val="none" w:sz="0" w:space="0" w:color="auto"/>
                                <w:right w:val="none" w:sz="0" w:space="0" w:color="auto"/>
                              </w:divBdr>
                              <w:divsChild>
                                <w:div w:id="604077566">
                                  <w:marLeft w:val="0"/>
                                  <w:marRight w:val="0"/>
                                  <w:marTop w:val="0"/>
                                  <w:marBottom w:val="0"/>
                                  <w:divBdr>
                                    <w:top w:val="none" w:sz="0" w:space="0" w:color="auto"/>
                                    <w:left w:val="none" w:sz="0" w:space="0" w:color="auto"/>
                                    <w:bottom w:val="none" w:sz="0" w:space="0" w:color="auto"/>
                                    <w:right w:val="none" w:sz="0" w:space="0" w:color="auto"/>
                                  </w:divBdr>
                                  <w:divsChild>
                                    <w:div w:id="1571966275">
                                      <w:marLeft w:val="0"/>
                                      <w:marRight w:val="0"/>
                                      <w:marTop w:val="0"/>
                                      <w:marBottom w:val="0"/>
                                      <w:divBdr>
                                        <w:top w:val="none" w:sz="0" w:space="0" w:color="auto"/>
                                        <w:left w:val="none" w:sz="0" w:space="0" w:color="auto"/>
                                        <w:bottom w:val="none" w:sz="0" w:space="0" w:color="auto"/>
                                        <w:right w:val="none" w:sz="0" w:space="0" w:color="auto"/>
                                      </w:divBdr>
                                      <w:divsChild>
                                        <w:div w:id="1146554604">
                                          <w:marLeft w:val="0"/>
                                          <w:marRight w:val="0"/>
                                          <w:marTop w:val="0"/>
                                          <w:marBottom w:val="0"/>
                                          <w:divBdr>
                                            <w:top w:val="none" w:sz="0" w:space="0" w:color="auto"/>
                                            <w:left w:val="none" w:sz="0" w:space="0" w:color="auto"/>
                                            <w:bottom w:val="none" w:sz="0" w:space="0" w:color="auto"/>
                                            <w:right w:val="none" w:sz="0" w:space="0" w:color="auto"/>
                                          </w:divBdr>
                                          <w:divsChild>
                                            <w:div w:id="4142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992578">
                  <w:marLeft w:val="0"/>
                  <w:marRight w:val="0"/>
                  <w:marTop w:val="0"/>
                  <w:marBottom w:val="0"/>
                  <w:divBdr>
                    <w:top w:val="none" w:sz="0" w:space="0" w:color="auto"/>
                    <w:left w:val="none" w:sz="0" w:space="0" w:color="auto"/>
                    <w:bottom w:val="none" w:sz="0" w:space="0" w:color="auto"/>
                    <w:right w:val="none" w:sz="0" w:space="0" w:color="auto"/>
                  </w:divBdr>
                  <w:divsChild>
                    <w:div w:id="412509321">
                      <w:marLeft w:val="0"/>
                      <w:marRight w:val="0"/>
                      <w:marTop w:val="0"/>
                      <w:marBottom w:val="0"/>
                      <w:divBdr>
                        <w:top w:val="none" w:sz="0" w:space="0" w:color="auto"/>
                        <w:left w:val="none" w:sz="0" w:space="0" w:color="auto"/>
                        <w:bottom w:val="none" w:sz="0" w:space="0" w:color="auto"/>
                        <w:right w:val="none" w:sz="0" w:space="0" w:color="auto"/>
                      </w:divBdr>
                      <w:divsChild>
                        <w:div w:id="461654712">
                          <w:marLeft w:val="0"/>
                          <w:marRight w:val="0"/>
                          <w:marTop w:val="0"/>
                          <w:marBottom w:val="0"/>
                          <w:divBdr>
                            <w:top w:val="none" w:sz="0" w:space="0" w:color="auto"/>
                            <w:left w:val="none" w:sz="0" w:space="0" w:color="auto"/>
                            <w:bottom w:val="none" w:sz="0" w:space="0" w:color="auto"/>
                            <w:right w:val="none" w:sz="0" w:space="0" w:color="auto"/>
                          </w:divBdr>
                          <w:divsChild>
                            <w:div w:id="1025055173">
                              <w:marLeft w:val="0"/>
                              <w:marRight w:val="0"/>
                              <w:marTop w:val="0"/>
                              <w:marBottom w:val="0"/>
                              <w:divBdr>
                                <w:top w:val="none" w:sz="0" w:space="0" w:color="auto"/>
                                <w:left w:val="none" w:sz="0" w:space="0" w:color="auto"/>
                                <w:bottom w:val="none" w:sz="0" w:space="0" w:color="auto"/>
                                <w:right w:val="none" w:sz="0" w:space="0" w:color="auto"/>
                              </w:divBdr>
                              <w:divsChild>
                                <w:div w:id="255095577">
                                  <w:marLeft w:val="0"/>
                                  <w:marRight w:val="0"/>
                                  <w:marTop w:val="0"/>
                                  <w:marBottom w:val="0"/>
                                  <w:divBdr>
                                    <w:top w:val="none" w:sz="0" w:space="0" w:color="auto"/>
                                    <w:left w:val="none" w:sz="0" w:space="0" w:color="auto"/>
                                    <w:bottom w:val="none" w:sz="0" w:space="0" w:color="auto"/>
                                    <w:right w:val="none" w:sz="0" w:space="0" w:color="auto"/>
                                  </w:divBdr>
                                  <w:divsChild>
                                    <w:div w:id="1380789341">
                                      <w:marLeft w:val="0"/>
                                      <w:marRight w:val="0"/>
                                      <w:marTop w:val="0"/>
                                      <w:marBottom w:val="0"/>
                                      <w:divBdr>
                                        <w:top w:val="none" w:sz="0" w:space="0" w:color="auto"/>
                                        <w:left w:val="none" w:sz="0" w:space="0" w:color="auto"/>
                                        <w:bottom w:val="none" w:sz="0" w:space="0" w:color="auto"/>
                                        <w:right w:val="none" w:sz="0" w:space="0" w:color="auto"/>
                                      </w:divBdr>
                                      <w:divsChild>
                                        <w:div w:id="1129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431299">
                  <w:marLeft w:val="0"/>
                  <w:marRight w:val="0"/>
                  <w:marTop w:val="0"/>
                  <w:marBottom w:val="0"/>
                  <w:divBdr>
                    <w:top w:val="none" w:sz="0" w:space="0" w:color="auto"/>
                    <w:left w:val="none" w:sz="0" w:space="0" w:color="auto"/>
                    <w:bottom w:val="none" w:sz="0" w:space="0" w:color="auto"/>
                    <w:right w:val="none" w:sz="0" w:space="0" w:color="auto"/>
                  </w:divBdr>
                  <w:divsChild>
                    <w:div w:id="2073310735">
                      <w:marLeft w:val="0"/>
                      <w:marRight w:val="0"/>
                      <w:marTop w:val="0"/>
                      <w:marBottom w:val="0"/>
                      <w:divBdr>
                        <w:top w:val="none" w:sz="0" w:space="0" w:color="auto"/>
                        <w:left w:val="none" w:sz="0" w:space="0" w:color="auto"/>
                        <w:bottom w:val="none" w:sz="0" w:space="0" w:color="auto"/>
                        <w:right w:val="none" w:sz="0" w:space="0" w:color="auto"/>
                      </w:divBdr>
                      <w:divsChild>
                        <w:div w:id="1742175037">
                          <w:marLeft w:val="0"/>
                          <w:marRight w:val="0"/>
                          <w:marTop w:val="0"/>
                          <w:marBottom w:val="0"/>
                          <w:divBdr>
                            <w:top w:val="none" w:sz="0" w:space="0" w:color="auto"/>
                            <w:left w:val="none" w:sz="0" w:space="0" w:color="auto"/>
                            <w:bottom w:val="none" w:sz="0" w:space="0" w:color="auto"/>
                            <w:right w:val="none" w:sz="0" w:space="0" w:color="auto"/>
                          </w:divBdr>
                          <w:divsChild>
                            <w:div w:id="1555509227">
                              <w:marLeft w:val="0"/>
                              <w:marRight w:val="0"/>
                              <w:marTop w:val="0"/>
                              <w:marBottom w:val="0"/>
                              <w:divBdr>
                                <w:top w:val="none" w:sz="0" w:space="0" w:color="auto"/>
                                <w:left w:val="none" w:sz="0" w:space="0" w:color="auto"/>
                                <w:bottom w:val="none" w:sz="0" w:space="0" w:color="auto"/>
                                <w:right w:val="none" w:sz="0" w:space="0" w:color="auto"/>
                              </w:divBdr>
                              <w:divsChild>
                                <w:div w:id="1164080582">
                                  <w:marLeft w:val="0"/>
                                  <w:marRight w:val="0"/>
                                  <w:marTop w:val="0"/>
                                  <w:marBottom w:val="0"/>
                                  <w:divBdr>
                                    <w:top w:val="none" w:sz="0" w:space="0" w:color="auto"/>
                                    <w:left w:val="none" w:sz="0" w:space="0" w:color="auto"/>
                                    <w:bottom w:val="none" w:sz="0" w:space="0" w:color="auto"/>
                                    <w:right w:val="none" w:sz="0" w:space="0" w:color="auto"/>
                                  </w:divBdr>
                                  <w:divsChild>
                                    <w:div w:id="17927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772862">
          <w:marLeft w:val="0"/>
          <w:marRight w:val="0"/>
          <w:marTop w:val="0"/>
          <w:marBottom w:val="0"/>
          <w:divBdr>
            <w:top w:val="none" w:sz="0" w:space="0" w:color="auto"/>
            <w:left w:val="none" w:sz="0" w:space="0" w:color="auto"/>
            <w:bottom w:val="none" w:sz="0" w:space="0" w:color="auto"/>
            <w:right w:val="none" w:sz="0" w:space="0" w:color="auto"/>
          </w:divBdr>
          <w:divsChild>
            <w:div w:id="687029373">
              <w:marLeft w:val="0"/>
              <w:marRight w:val="0"/>
              <w:marTop w:val="0"/>
              <w:marBottom w:val="0"/>
              <w:divBdr>
                <w:top w:val="none" w:sz="0" w:space="0" w:color="auto"/>
                <w:left w:val="none" w:sz="0" w:space="0" w:color="auto"/>
                <w:bottom w:val="none" w:sz="0" w:space="0" w:color="auto"/>
                <w:right w:val="none" w:sz="0" w:space="0" w:color="auto"/>
              </w:divBdr>
              <w:divsChild>
                <w:div w:id="129977711">
                  <w:marLeft w:val="0"/>
                  <w:marRight w:val="0"/>
                  <w:marTop w:val="0"/>
                  <w:marBottom w:val="0"/>
                  <w:divBdr>
                    <w:top w:val="none" w:sz="0" w:space="0" w:color="auto"/>
                    <w:left w:val="none" w:sz="0" w:space="0" w:color="auto"/>
                    <w:bottom w:val="none" w:sz="0" w:space="0" w:color="auto"/>
                    <w:right w:val="none" w:sz="0" w:space="0" w:color="auto"/>
                  </w:divBdr>
                  <w:divsChild>
                    <w:div w:id="1948005707">
                      <w:marLeft w:val="0"/>
                      <w:marRight w:val="0"/>
                      <w:marTop w:val="0"/>
                      <w:marBottom w:val="0"/>
                      <w:divBdr>
                        <w:top w:val="none" w:sz="0" w:space="0" w:color="auto"/>
                        <w:left w:val="none" w:sz="0" w:space="0" w:color="auto"/>
                        <w:bottom w:val="none" w:sz="0" w:space="0" w:color="auto"/>
                        <w:right w:val="none" w:sz="0" w:space="0" w:color="auto"/>
                      </w:divBdr>
                      <w:divsChild>
                        <w:div w:id="1010378100">
                          <w:marLeft w:val="0"/>
                          <w:marRight w:val="0"/>
                          <w:marTop w:val="0"/>
                          <w:marBottom w:val="0"/>
                          <w:divBdr>
                            <w:top w:val="none" w:sz="0" w:space="0" w:color="auto"/>
                            <w:left w:val="none" w:sz="0" w:space="0" w:color="auto"/>
                            <w:bottom w:val="none" w:sz="0" w:space="0" w:color="auto"/>
                            <w:right w:val="none" w:sz="0" w:space="0" w:color="auto"/>
                          </w:divBdr>
                          <w:divsChild>
                            <w:div w:id="1464688768">
                              <w:marLeft w:val="0"/>
                              <w:marRight w:val="0"/>
                              <w:marTop w:val="0"/>
                              <w:marBottom w:val="0"/>
                              <w:divBdr>
                                <w:top w:val="none" w:sz="0" w:space="0" w:color="auto"/>
                                <w:left w:val="none" w:sz="0" w:space="0" w:color="auto"/>
                                <w:bottom w:val="none" w:sz="0" w:space="0" w:color="auto"/>
                                <w:right w:val="none" w:sz="0" w:space="0" w:color="auto"/>
                              </w:divBdr>
                              <w:divsChild>
                                <w:div w:id="1750302661">
                                  <w:marLeft w:val="0"/>
                                  <w:marRight w:val="0"/>
                                  <w:marTop w:val="0"/>
                                  <w:marBottom w:val="0"/>
                                  <w:divBdr>
                                    <w:top w:val="none" w:sz="0" w:space="0" w:color="auto"/>
                                    <w:left w:val="none" w:sz="0" w:space="0" w:color="auto"/>
                                    <w:bottom w:val="none" w:sz="0" w:space="0" w:color="auto"/>
                                    <w:right w:val="none" w:sz="0" w:space="0" w:color="auto"/>
                                  </w:divBdr>
                                  <w:divsChild>
                                    <w:div w:id="161239719">
                                      <w:marLeft w:val="0"/>
                                      <w:marRight w:val="0"/>
                                      <w:marTop w:val="0"/>
                                      <w:marBottom w:val="0"/>
                                      <w:divBdr>
                                        <w:top w:val="none" w:sz="0" w:space="0" w:color="auto"/>
                                        <w:left w:val="none" w:sz="0" w:space="0" w:color="auto"/>
                                        <w:bottom w:val="none" w:sz="0" w:space="0" w:color="auto"/>
                                        <w:right w:val="none" w:sz="0" w:space="0" w:color="auto"/>
                                      </w:divBdr>
                                      <w:divsChild>
                                        <w:div w:id="1463812800">
                                          <w:marLeft w:val="0"/>
                                          <w:marRight w:val="0"/>
                                          <w:marTop w:val="0"/>
                                          <w:marBottom w:val="0"/>
                                          <w:divBdr>
                                            <w:top w:val="none" w:sz="0" w:space="0" w:color="auto"/>
                                            <w:left w:val="none" w:sz="0" w:space="0" w:color="auto"/>
                                            <w:bottom w:val="none" w:sz="0" w:space="0" w:color="auto"/>
                                            <w:right w:val="none" w:sz="0" w:space="0" w:color="auto"/>
                                          </w:divBdr>
                                          <w:divsChild>
                                            <w:div w:id="1748379886">
                                              <w:marLeft w:val="0"/>
                                              <w:marRight w:val="0"/>
                                              <w:marTop w:val="0"/>
                                              <w:marBottom w:val="0"/>
                                              <w:divBdr>
                                                <w:top w:val="none" w:sz="0" w:space="0" w:color="auto"/>
                                                <w:left w:val="none" w:sz="0" w:space="0" w:color="auto"/>
                                                <w:bottom w:val="none" w:sz="0" w:space="0" w:color="auto"/>
                                                <w:right w:val="none" w:sz="0" w:space="0" w:color="auto"/>
                                              </w:divBdr>
                                              <w:divsChild>
                                                <w:div w:id="1917517917">
                                                  <w:marLeft w:val="0"/>
                                                  <w:marRight w:val="0"/>
                                                  <w:marTop w:val="0"/>
                                                  <w:marBottom w:val="0"/>
                                                  <w:divBdr>
                                                    <w:top w:val="none" w:sz="0" w:space="0" w:color="auto"/>
                                                    <w:left w:val="none" w:sz="0" w:space="0" w:color="auto"/>
                                                    <w:bottom w:val="none" w:sz="0" w:space="0" w:color="auto"/>
                                                    <w:right w:val="none" w:sz="0" w:space="0" w:color="auto"/>
                                                  </w:divBdr>
                                                  <w:divsChild>
                                                    <w:div w:id="4063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7651512">
      <w:bodyDiv w:val="1"/>
      <w:marLeft w:val="0"/>
      <w:marRight w:val="0"/>
      <w:marTop w:val="0"/>
      <w:marBottom w:val="0"/>
      <w:divBdr>
        <w:top w:val="none" w:sz="0" w:space="0" w:color="auto"/>
        <w:left w:val="none" w:sz="0" w:space="0" w:color="auto"/>
        <w:bottom w:val="none" w:sz="0" w:space="0" w:color="auto"/>
        <w:right w:val="none" w:sz="0" w:space="0" w:color="auto"/>
      </w:divBdr>
    </w:div>
    <w:div w:id="1471508521">
      <w:bodyDiv w:val="1"/>
      <w:marLeft w:val="0"/>
      <w:marRight w:val="0"/>
      <w:marTop w:val="0"/>
      <w:marBottom w:val="0"/>
      <w:divBdr>
        <w:top w:val="none" w:sz="0" w:space="0" w:color="auto"/>
        <w:left w:val="none" w:sz="0" w:space="0" w:color="auto"/>
        <w:bottom w:val="none" w:sz="0" w:space="0" w:color="auto"/>
        <w:right w:val="none" w:sz="0" w:space="0" w:color="auto"/>
      </w:divBdr>
    </w:div>
    <w:div w:id="1557428629">
      <w:bodyDiv w:val="1"/>
      <w:marLeft w:val="0"/>
      <w:marRight w:val="0"/>
      <w:marTop w:val="0"/>
      <w:marBottom w:val="0"/>
      <w:divBdr>
        <w:top w:val="none" w:sz="0" w:space="0" w:color="auto"/>
        <w:left w:val="none" w:sz="0" w:space="0" w:color="auto"/>
        <w:bottom w:val="none" w:sz="0" w:space="0" w:color="auto"/>
        <w:right w:val="none" w:sz="0" w:space="0" w:color="auto"/>
      </w:divBdr>
    </w:div>
    <w:div w:id="1736854634">
      <w:bodyDiv w:val="1"/>
      <w:marLeft w:val="0"/>
      <w:marRight w:val="0"/>
      <w:marTop w:val="0"/>
      <w:marBottom w:val="0"/>
      <w:divBdr>
        <w:top w:val="none" w:sz="0" w:space="0" w:color="auto"/>
        <w:left w:val="none" w:sz="0" w:space="0" w:color="auto"/>
        <w:bottom w:val="none" w:sz="0" w:space="0" w:color="auto"/>
        <w:right w:val="none" w:sz="0" w:space="0" w:color="auto"/>
      </w:divBdr>
    </w:div>
    <w:div w:id="1854686071">
      <w:bodyDiv w:val="1"/>
      <w:marLeft w:val="0"/>
      <w:marRight w:val="0"/>
      <w:marTop w:val="0"/>
      <w:marBottom w:val="0"/>
      <w:divBdr>
        <w:top w:val="none" w:sz="0" w:space="0" w:color="auto"/>
        <w:left w:val="none" w:sz="0" w:space="0" w:color="auto"/>
        <w:bottom w:val="none" w:sz="0" w:space="0" w:color="auto"/>
        <w:right w:val="none" w:sz="0" w:space="0" w:color="auto"/>
      </w:divBdr>
    </w:div>
    <w:div w:id="1876691345">
      <w:bodyDiv w:val="1"/>
      <w:marLeft w:val="0"/>
      <w:marRight w:val="0"/>
      <w:marTop w:val="0"/>
      <w:marBottom w:val="0"/>
      <w:divBdr>
        <w:top w:val="none" w:sz="0" w:space="0" w:color="auto"/>
        <w:left w:val="none" w:sz="0" w:space="0" w:color="auto"/>
        <w:bottom w:val="none" w:sz="0" w:space="0" w:color="auto"/>
        <w:right w:val="none" w:sz="0" w:space="0" w:color="auto"/>
      </w:divBdr>
    </w:div>
    <w:div w:id="2007123555">
      <w:bodyDiv w:val="1"/>
      <w:marLeft w:val="0"/>
      <w:marRight w:val="0"/>
      <w:marTop w:val="0"/>
      <w:marBottom w:val="0"/>
      <w:divBdr>
        <w:top w:val="none" w:sz="0" w:space="0" w:color="auto"/>
        <w:left w:val="none" w:sz="0" w:space="0" w:color="auto"/>
        <w:bottom w:val="none" w:sz="0" w:space="0" w:color="auto"/>
        <w:right w:val="none" w:sz="0" w:space="0" w:color="auto"/>
      </w:divBdr>
      <w:divsChild>
        <w:div w:id="1947694541">
          <w:marLeft w:val="0"/>
          <w:marRight w:val="0"/>
          <w:marTop w:val="0"/>
          <w:marBottom w:val="0"/>
          <w:divBdr>
            <w:top w:val="none" w:sz="0" w:space="0" w:color="auto"/>
            <w:left w:val="none" w:sz="0" w:space="0" w:color="auto"/>
            <w:bottom w:val="none" w:sz="0" w:space="0" w:color="auto"/>
            <w:right w:val="none" w:sz="0" w:space="0" w:color="auto"/>
          </w:divBdr>
          <w:divsChild>
            <w:div w:id="5828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4732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2026-05-11T02:29:00Z</dcterms:created>
  <dcterms:modified xsi:type="dcterms:W3CDTF">2026-05-11T02:29:00Z</dcterms:modified>
</cp:coreProperties>
</file>